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
          <w:bCs/>
          <w:iCs/>
          <w:color w:val="000000"/>
          <w:sz w:val="20"/>
          <w:szCs w:val="20"/>
        </w:rPr>
      </w:pPr>
      <w:r>
        <w:rPr>
          <w:rFonts w:cs="Arial" w:ascii="Arial" w:hAnsi="Arial"/>
          <w:b/>
          <w:bCs/>
          <w:iCs/>
          <w:color w:val="000000"/>
          <w:sz w:val="20"/>
          <w:szCs w:val="20"/>
        </w:rPr>
        <w:t>ANEXO II</w:t>
      </w:r>
    </w:p>
    <w:p>
      <w:pPr>
        <w:pStyle w:val="Normal"/>
        <w:jc w:val="center"/>
        <w:rPr>
          <w:rFonts w:ascii="Arial" w:hAnsi="Arial" w:cs="Arial"/>
          <w:b/>
          <w:b/>
          <w:bCs/>
          <w:iCs/>
          <w:color w:val="000000"/>
          <w:sz w:val="20"/>
          <w:szCs w:val="20"/>
        </w:rPr>
      </w:pPr>
      <w:r>
        <w:rPr/>
        <w:drawing>
          <wp:inline distT="0" distB="0" distL="0" distR="0">
            <wp:extent cx="952500" cy="88582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952500" cy="885825"/>
                    </a:xfrm>
                    <a:prstGeom prst="rect">
                      <a:avLst/>
                    </a:prstGeom>
                  </pic:spPr>
                </pic:pic>
              </a:graphicData>
            </a:graphic>
          </wp:inline>
        </w:drawing>
      </w:r>
    </w:p>
    <w:p>
      <w:pPr>
        <w:pStyle w:val="Normal"/>
        <w:jc w:val="center"/>
        <w:rPr>
          <w:rFonts w:ascii="Arial" w:hAnsi="Arial" w:cs="Arial"/>
          <w:b/>
          <w:b/>
          <w:bCs/>
          <w:color w:val="000000"/>
        </w:rPr>
      </w:pPr>
      <w:r>
        <w:rPr>
          <w:rFonts w:cs="Arial" w:ascii="Arial" w:hAnsi="Arial"/>
          <w:b/>
          <w:bCs/>
          <w:color w:val="000000"/>
        </w:rPr>
        <w:t>MINISTÉRIO DA DEFESA</w:t>
      </w:r>
    </w:p>
    <w:p>
      <w:pPr>
        <w:pStyle w:val="Normal"/>
        <w:jc w:val="center"/>
        <w:rPr>
          <w:rFonts w:ascii="Arial" w:hAnsi="Arial" w:cs="Arial"/>
          <w:b/>
          <w:b/>
          <w:bCs/>
          <w:color w:val="000000"/>
        </w:rPr>
      </w:pPr>
      <w:r>
        <w:rPr>
          <w:rFonts w:cs="Arial" w:ascii="Arial" w:hAnsi="Arial"/>
          <w:b/>
          <w:bCs/>
          <w:color w:val="000000"/>
        </w:rPr>
        <w:t>EXÉRCITO BRASILEIRO</w:t>
      </w:r>
    </w:p>
    <w:p>
      <w:pPr>
        <w:pStyle w:val="Normal"/>
        <w:jc w:val="center"/>
        <w:rPr>
          <w:rFonts w:ascii="Arial" w:hAnsi="Arial" w:cs="Arial"/>
          <w:b/>
          <w:b/>
          <w:bCs/>
          <w:color w:val="000000"/>
        </w:rPr>
      </w:pPr>
      <w:r>
        <w:rPr>
          <w:rFonts w:cs="Arial" w:ascii="Arial" w:hAnsi="Arial"/>
          <w:b/>
          <w:bCs/>
          <w:color w:val="000000"/>
        </w:rPr>
        <w:t>CMA - 17</w:t>
      </w:r>
      <w:r>
        <w:rPr>
          <w:rFonts w:cs="Arial" w:ascii="Arial" w:hAnsi="Arial"/>
          <w:b/>
          <w:bCs/>
          <w:strike/>
          <w:color w:val="000000"/>
        </w:rPr>
        <w:t>ª</w:t>
      </w:r>
      <w:r>
        <w:rPr>
          <w:rFonts w:cs="Arial" w:ascii="Arial" w:hAnsi="Arial"/>
          <w:b/>
          <w:bCs/>
          <w:color w:val="000000"/>
        </w:rPr>
        <w:t xml:space="preserve"> BDA INF SL</w:t>
      </w:r>
    </w:p>
    <w:p>
      <w:pPr>
        <w:pStyle w:val="Normal"/>
        <w:jc w:val="center"/>
        <w:rPr>
          <w:rFonts w:ascii="Arial" w:hAnsi="Arial" w:cs="Arial"/>
          <w:b/>
          <w:b/>
          <w:bCs/>
          <w:color w:val="000000"/>
        </w:rPr>
      </w:pPr>
      <w:r>
        <w:rPr>
          <w:rFonts w:cs="Arial" w:ascii="Arial" w:hAnsi="Arial"/>
          <w:b/>
          <w:bCs/>
          <w:color w:val="000000"/>
        </w:rPr>
        <w:t>54</w:t>
      </w:r>
      <w:r>
        <w:rPr>
          <w:rFonts w:cs="Arial" w:ascii="Arial" w:hAnsi="Arial"/>
          <w:b/>
          <w:bCs/>
          <w:strike/>
          <w:color w:val="000000"/>
        </w:rPr>
        <w:t>º</w:t>
      </w:r>
      <w:r>
        <w:rPr>
          <w:rFonts w:cs="Arial" w:ascii="Arial" w:hAnsi="Arial"/>
          <w:b/>
          <w:bCs/>
          <w:color w:val="000000"/>
        </w:rPr>
        <w:t xml:space="preserve"> BATALHÃO DE INFANTARIA DE SELVA</w:t>
      </w:r>
    </w:p>
    <w:p>
      <w:pPr>
        <w:pStyle w:val="Normal"/>
        <w:jc w:val="center"/>
        <w:rPr>
          <w:rFonts w:ascii="Arial" w:hAnsi="Arial" w:cs="Arial"/>
        </w:rPr>
      </w:pPr>
      <w:r>
        <w:rPr>
          <w:rFonts w:cs="Arial" w:ascii="Arial" w:hAnsi="Arial"/>
          <w:b/>
          <w:bCs/>
          <w:color w:val="000000"/>
        </w:rPr>
        <w:t>BATALHÃO CACIQUE AJURICABA</w:t>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jc w:val="center"/>
        <w:rPr>
          <w:rFonts w:ascii="Arial" w:hAnsi="Arial" w:cs="Arial"/>
          <w:bCs/>
          <w:color w:val="000000"/>
          <w:sz w:val="20"/>
          <w:szCs w:val="20"/>
        </w:rPr>
      </w:pPr>
      <w:r>
        <w:rPr>
          <w:rFonts w:cs="Arial" w:ascii="Arial" w:hAnsi="Arial"/>
          <w:b/>
          <w:sz w:val="20"/>
          <w:szCs w:val="20"/>
        </w:rPr>
        <w:t>ATA DE REGISTRO DE PREÇOS</w:t>
      </w:r>
      <w:r>
        <w:rPr>
          <w:rFonts w:cs="Arial" w:ascii="Arial" w:hAnsi="Arial"/>
          <w:sz w:val="20"/>
          <w:szCs w:val="20"/>
        </w:rPr>
        <w:t xml:space="preserve"> </w:t>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bCs/>
          <w:sz w:val="20"/>
          <w:szCs w:val="20"/>
        </w:rPr>
      </w:pPr>
      <w:r>
        <w:rPr>
          <w:rFonts w:cs="Arial" w:ascii="Arial" w:hAnsi="Arial"/>
          <w:bCs/>
          <w:sz w:val="20"/>
          <w:szCs w:val="20"/>
        </w:rPr>
        <w:t>N.º .........</w:t>
      </w:r>
    </w:p>
    <w:p>
      <w:pPr>
        <w:pStyle w:val="Normal"/>
        <w:widowControl w:val="false"/>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ind w:right="-28" w:hanging="0"/>
        <w:jc w:val="both"/>
        <w:rPr>
          <w:rFonts w:ascii="Arial" w:hAnsi="Arial" w:cs="Arial"/>
          <w:sz w:val="20"/>
          <w:szCs w:val="20"/>
        </w:rPr>
      </w:pPr>
      <w:r>
        <w:rPr>
          <w:rFonts w:cs="Arial" w:ascii="Arial" w:hAnsi="Arial"/>
          <w:sz w:val="20"/>
          <w:szCs w:val="20"/>
        </w:rPr>
        <w:tab/>
        <w:t>O 54º BATALHÃO DE INFANTARIA DE SELVA, com sede na BR 319, Km 09, Zona Rural, Humaitá-AM, inscrito(a) no CNPJ/MF sob o nº 09.535.729/0001-37, neste ato representado(a) pelo Ordenador de Despesas, Sr. RAFAEL AUGUSTO DE BRITO, nº Idt ………..., CPF nº ………………., considerando o julgamento da licitação na modalidade de pregão, na forma eletrônica, para REGISTRO DE PREÇOS nº 2</w:t>
      </w:r>
      <w:r>
        <w:rPr>
          <w:rFonts w:cs="Arial" w:ascii="Arial" w:hAnsi="Arial"/>
          <w:sz w:val="20"/>
          <w:szCs w:val="20"/>
        </w:rPr>
        <w:t>6</w:t>
      </w:r>
      <w:r>
        <w:rPr>
          <w:rFonts w:cs="Arial" w:ascii="Arial" w:hAnsi="Arial"/>
          <w:sz w:val="20"/>
          <w:szCs w:val="20"/>
        </w:rPr>
        <w:t xml:space="preserve">/2022, publicada no ...... de ...../...../200....., processo administrativo n.º </w:t>
      </w:r>
      <w:r>
        <w:rPr>
          <w:rFonts w:eastAsia="Arial" w:cs="Tahoma" w:ascii="Arial" w:hAnsi="Arial"/>
          <w:b/>
          <w:bCs/>
          <w:color w:val="000000"/>
          <w:kern w:val="0"/>
          <w:sz w:val="20"/>
          <w:szCs w:val="24"/>
          <w:highlight w:val="white"/>
          <w:shd w:fill="FFFFFF" w:val="clear"/>
          <w:lang w:val="pt-BR" w:eastAsia="zh-CN" w:bidi="hi-IN"/>
        </w:rPr>
        <w:t>64122.00</w:t>
      </w:r>
      <w:r>
        <w:rPr>
          <w:rFonts w:eastAsia="Arial" w:cs="Tahoma" w:ascii="Arial" w:hAnsi="Arial"/>
          <w:b/>
          <w:bCs/>
          <w:color w:val="000000"/>
          <w:kern w:val="0"/>
          <w:sz w:val="20"/>
          <w:szCs w:val="24"/>
          <w:highlight w:val="white"/>
          <w:shd w:fill="FFFFFF" w:val="clear"/>
          <w:lang w:val="pt-BR" w:eastAsia="zh-CN" w:bidi="hi-IN"/>
        </w:rPr>
        <w:t>3690</w:t>
      </w:r>
      <w:r>
        <w:rPr>
          <w:rFonts w:eastAsia="Arial" w:cs="Tahoma" w:ascii="Arial" w:hAnsi="Arial"/>
          <w:b/>
          <w:bCs/>
          <w:color w:val="000000"/>
          <w:kern w:val="0"/>
          <w:sz w:val="20"/>
          <w:szCs w:val="24"/>
          <w:highlight w:val="white"/>
          <w:shd w:fill="FFFFFF" w:val="clear"/>
          <w:lang w:val="pt-BR" w:eastAsia="zh-CN" w:bidi="hi-IN"/>
        </w:rPr>
        <w:t>/2023-</w:t>
      </w:r>
      <w:r>
        <w:rPr>
          <w:rFonts w:eastAsia="Arial" w:cs="Tahoma" w:ascii="Arial" w:hAnsi="Arial"/>
          <w:b/>
          <w:bCs/>
          <w:color w:val="000000"/>
          <w:kern w:val="0"/>
          <w:sz w:val="20"/>
          <w:szCs w:val="24"/>
          <w:highlight w:val="white"/>
          <w:shd w:fill="FFFFFF" w:val="clear"/>
          <w:lang w:val="pt-BR" w:eastAsia="zh-CN" w:bidi="hi-IN"/>
        </w:rPr>
        <w:t>50</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w:t>
      </w:r>
      <w:r>
        <w:rPr>
          <w:rFonts w:cs="Arial" w:ascii="Arial" w:hAnsi="Arial"/>
          <w:color w:val="auto"/>
          <w:sz w:val="20"/>
          <w:szCs w:val="20"/>
        </w:rPr>
        <w:t>no Edital de licitação, suj</w:t>
      </w:r>
      <w:r>
        <w:rPr>
          <w:rFonts w:cs="Arial" w:ascii="Arial" w:hAnsi="Arial"/>
          <w:sz w:val="20"/>
          <w:szCs w:val="20"/>
        </w:rPr>
        <w:t>eitando-se as partes às normas constantes na Lei nº 14.133, de 1º de abril de 2021, no Dec</w:t>
      </w:r>
      <w:r>
        <w:rPr>
          <w:rFonts w:cs="Arial" w:ascii="Arial" w:hAnsi="Arial"/>
          <w:i w:val="false"/>
          <w:iCs w:val="false"/>
          <w:sz w:val="20"/>
          <w:szCs w:val="20"/>
        </w:rPr>
        <w:t>reto n.º 11.462, de 31 de março de 2023, e em conformidade com as disposições a seguir:</w:t>
      </w:r>
    </w:p>
    <w:p>
      <w:pPr>
        <w:pStyle w:val="Normal"/>
        <w:widowControl w:val="false"/>
        <w:tabs>
          <w:tab w:val="clear" w:pos="708"/>
          <w:tab w:val="center" w:pos="4779" w:leader="none"/>
          <w:tab w:val="right" w:pos="9198" w:leader="none"/>
        </w:tabs>
        <w:ind w:right="-28" w:hanging="0"/>
        <w:jc w:val="both"/>
        <w:rPr>
          <w:rFonts w:ascii="Arial" w:hAnsi="Arial" w:cs="Arial"/>
          <w:i w:val="false"/>
          <w:i w:val="false"/>
          <w:iCs w:val="false"/>
          <w:sz w:val="20"/>
          <w:szCs w:val="20"/>
        </w:rPr>
      </w:pPr>
      <w:r>
        <w:rPr>
          <w:rFonts w:cs="Arial" w:ascii="Arial" w:hAnsi="Arial"/>
          <w:i w:val="false"/>
          <w:iCs w:val="false"/>
          <w:sz w:val="20"/>
          <w:szCs w:val="20"/>
        </w:rPr>
      </w:r>
    </w:p>
    <w:p>
      <w:pPr>
        <w:pStyle w:val="Normal"/>
        <w:numPr>
          <w:ilvl w:val="0"/>
          <w:numId w:val="1"/>
        </w:numPr>
        <w:spacing w:lineRule="auto" w:line="276" w:before="120" w:after="120"/>
        <w:ind w:left="0" w:hanging="0"/>
        <w:jc w:val="both"/>
        <w:rPr>
          <w:i w:val="false"/>
          <w:i w:val="false"/>
          <w:iCs w:val="false"/>
        </w:rPr>
      </w:pPr>
      <w:r>
        <w:rPr>
          <w:rFonts w:cs="Arial" w:ascii="Arial" w:hAnsi="Arial"/>
          <w:b/>
          <w:bCs/>
          <w:i w:val="false"/>
          <w:iCs w:val="false"/>
          <w:sz w:val="20"/>
          <w:szCs w:val="20"/>
        </w:rPr>
        <w:t>DO OBJETO</w:t>
      </w:r>
    </w:p>
    <w:p>
      <w:pPr>
        <w:pStyle w:val="Normal"/>
        <w:numPr>
          <w:ilvl w:val="1"/>
          <w:numId w:val="1"/>
        </w:numPr>
        <w:spacing w:lineRule="auto" w:line="276" w:before="120" w:after="120"/>
        <w:ind w:left="425" w:hanging="0"/>
        <w:jc w:val="both"/>
        <w:rPr>
          <w:i w:val="false"/>
          <w:i w:val="false"/>
          <w:iCs w:val="false"/>
        </w:rPr>
      </w:pPr>
      <w:r>
        <w:rPr>
          <w:rFonts w:cs="Arial" w:ascii="Arial" w:hAnsi="Arial"/>
          <w:i w:val="false"/>
          <w:iCs w:val="false"/>
          <w:sz w:val="20"/>
          <w:szCs w:val="20"/>
        </w:rPr>
        <w:t xml:space="preserve">A presente Ata tem por objeto o registro de preços para a eventual </w:t>
      </w:r>
      <w:r>
        <w:rPr>
          <w:rFonts w:cs="Arial" w:ascii="Arial" w:hAnsi="Arial"/>
          <w:b/>
          <w:bCs/>
          <w:i w:val="false"/>
          <w:iCs w:val="false"/>
          <w:sz w:val="20"/>
          <w:szCs w:val="20"/>
        </w:rPr>
        <w:t xml:space="preserve">aquisição </w:t>
      </w:r>
      <w:r>
        <w:rPr>
          <w:rFonts w:cs="Arial" w:ascii="Arial" w:hAnsi="Arial"/>
          <w:b/>
          <w:bCs/>
          <w:i w:val="false"/>
          <w:iCs w:val="false"/>
          <w:color w:val="000000"/>
          <w:sz w:val="20"/>
          <w:szCs w:val="20"/>
        </w:rPr>
        <w:t xml:space="preserve">de materiais </w:t>
      </w:r>
      <w:r>
        <w:rPr>
          <w:rFonts w:cs="Arial" w:ascii="Arial" w:hAnsi="Arial"/>
          <w:b/>
          <w:bCs/>
          <w:i w:val="false"/>
          <w:iCs w:val="false"/>
          <w:color w:val="000000"/>
          <w:sz w:val="20"/>
          <w:szCs w:val="20"/>
        </w:rPr>
        <w:t>de construção</w:t>
      </w:r>
      <w:r>
        <w:rPr>
          <w:rFonts w:cs="Arial"/>
          <w:b/>
          <w:i w:val="false"/>
          <w:iCs w:val="false"/>
          <w:color w:val="000000"/>
          <w:sz w:val="20"/>
          <w:szCs w:val="20"/>
        </w:rPr>
        <w:t>,</w:t>
      </w:r>
      <w:r>
        <w:rPr>
          <w:rFonts w:cs="Arial" w:ascii="Arial" w:hAnsi="Arial"/>
          <w:i w:val="false"/>
          <w:iCs w:val="false"/>
          <w:sz w:val="20"/>
          <w:szCs w:val="20"/>
        </w:rPr>
        <w:t xml:space="preserve"> especificado(s) no(s) item(ns) __________ do Termo de Referência, anexo I do edital de Pregão nº 2</w:t>
      </w:r>
      <w:r>
        <w:rPr>
          <w:rFonts w:cs="Arial" w:ascii="Arial" w:hAnsi="Arial"/>
          <w:i w:val="false"/>
          <w:iCs w:val="false"/>
          <w:sz w:val="20"/>
          <w:szCs w:val="20"/>
        </w:rPr>
        <w:t>6</w:t>
      </w:r>
      <w:r>
        <w:rPr>
          <w:rFonts w:cs="Arial" w:ascii="Arial" w:hAnsi="Arial"/>
          <w:i w:val="false"/>
          <w:iCs w:val="false"/>
          <w:sz w:val="20"/>
          <w:szCs w:val="20"/>
        </w:rPr>
        <w:t>/2023, que é parte integrante desta Ata, assim como a proposta vencedora, independentemente de transcrição.</w:t>
      </w:r>
    </w:p>
    <w:p>
      <w:pPr>
        <w:pStyle w:val="Normal"/>
        <w:widowControl w:val="false"/>
        <w:ind w:left="792" w:hanging="0"/>
        <w:jc w:val="both"/>
        <w:rPr>
          <w:rFonts w:ascii="Arial" w:hAnsi="Arial" w:cs="Arial"/>
          <w:i w:val="false"/>
          <w:i w:val="false"/>
          <w:iCs w:val="false"/>
          <w:sz w:val="8"/>
          <w:szCs w:val="8"/>
        </w:rPr>
      </w:pPr>
      <w:r>
        <w:rPr>
          <w:rFonts w:cs="Arial" w:ascii="Arial" w:hAnsi="Arial"/>
          <w:i w:val="false"/>
          <w:iCs w:val="false"/>
          <w:sz w:val="8"/>
          <w:szCs w:val="8"/>
        </w:rPr>
      </w:r>
    </w:p>
    <w:p>
      <w:pPr>
        <w:pStyle w:val="Normal"/>
        <w:numPr>
          <w:ilvl w:val="0"/>
          <w:numId w:val="1"/>
        </w:numPr>
        <w:spacing w:lineRule="auto" w:line="276" w:before="120" w:after="120"/>
        <w:ind w:left="0" w:hanging="0"/>
        <w:jc w:val="both"/>
        <w:rPr>
          <w:i w:val="false"/>
          <w:i w:val="false"/>
          <w:iCs w:val="false"/>
        </w:rPr>
      </w:pPr>
      <w:r>
        <w:rPr>
          <w:rFonts w:cs="Arial" w:ascii="Arial" w:hAnsi="Arial"/>
          <w:b/>
          <w:bCs/>
          <w:i w:val="false"/>
          <w:iCs w:val="false"/>
          <w:sz w:val="20"/>
          <w:szCs w:val="20"/>
        </w:rPr>
        <w:t>DOS PREÇOS, ESPECIFICAÇÕES E QUANTITATIVOS</w:t>
      </w:r>
    </w:p>
    <w:p>
      <w:pPr>
        <w:pStyle w:val="Normal"/>
        <w:numPr>
          <w:ilvl w:val="1"/>
          <w:numId w:val="1"/>
        </w:numPr>
        <w:spacing w:lineRule="auto" w:line="276" w:before="120" w:after="120"/>
        <w:ind w:left="425" w:hanging="0"/>
        <w:jc w:val="both"/>
        <w:rPr>
          <w:i w:val="false"/>
          <w:i w:val="false"/>
          <w:iCs w:val="false"/>
        </w:rPr>
      </w:pPr>
      <w:r>
        <w:rPr>
          <w:rFonts w:cs="Arial" w:ascii="Arial" w:hAnsi="Arial"/>
          <w:i w:val="false"/>
          <w:iCs w:val="false"/>
          <w:sz w:val="20"/>
          <w:szCs w:val="20"/>
        </w:rPr>
        <w:t xml:space="preserve">O preço registrado, as especificações do objeto, as quantidades mínimas e máximas de cada item, fornecedor(es) e as demais condições ofertadas na(s) proposta(s) são as que seguem: </w:t>
      </w:r>
    </w:p>
    <w:tbl>
      <w:tblPr>
        <w:tblW w:w="9360"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485"/>
        <w:gridCol w:w="1305"/>
        <w:gridCol w:w="1470"/>
        <w:gridCol w:w="990"/>
        <w:gridCol w:w="779"/>
        <w:gridCol w:w="796"/>
        <w:gridCol w:w="899"/>
        <w:gridCol w:w="1140"/>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i w:val="false"/>
                <w:i w:val="false"/>
                <w:iCs w:val="false"/>
              </w:rPr>
            </w:pPr>
            <w:r>
              <w:rPr>
                <w:rFonts w:cs="Arial" w:ascii="Arial" w:hAnsi="Arial"/>
                <w:i w:val="false"/>
                <w:iCs w:val="false"/>
                <w:sz w:val="20"/>
                <w:szCs w:val="20"/>
              </w:rPr>
              <w:t>Item</w:t>
            </w:r>
          </w:p>
          <w:p>
            <w:pPr>
              <w:pStyle w:val="Normal"/>
              <w:widowControl w:val="false"/>
              <w:ind w:right="-30" w:hanging="0"/>
              <w:jc w:val="center"/>
              <w:rPr>
                <w:i w:val="false"/>
                <w:i w:val="false"/>
                <w:iCs w:val="false"/>
              </w:rPr>
            </w:pPr>
            <w:r>
              <w:rPr>
                <w:rFonts w:cs="Arial" w:ascii="Arial" w:hAnsi="Arial"/>
                <w:i w:val="false"/>
                <w:iCs w:val="false"/>
                <w:sz w:val="20"/>
                <w:szCs w:val="20"/>
              </w:rPr>
              <w:t>do</w:t>
            </w:r>
          </w:p>
          <w:p>
            <w:pPr>
              <w:pStyle w:val="Normal"/>
              <w:widowControl w:val="false"/>
              <w:ind w:right="-30" w:hanging="0"/>
              <w:jc w:val="center"/>
              <w:rPr>
                <w:i w:val="false"/>
                <w:i w:val="false"/>
                <w:iCs w:val="false"/>
              </w:rPr>
            </w:pPr>
            <w:r>
              <w:rPr>
                <w:rFonts w:cs="Arial" w:ascii="Arial" w:hAnsi="Arial"/>
                <w:i w:val="false"/>
                <w:iCs w:val="false"/>
                <w:sz w:val="20"/>
                <w:szCs w:val="20"/>
              </w:rPr>
              <w:t>TR</w:t>
            </w:r>
          </w:p>
        </w:tc>
        <w:tc>
          <w:tcPr>
            <w:tcW w:w="8864" w:type="dxa"/>
            <w:gridSpan w:val="8"/>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i w:val="false"/>
                <w:i w:val="false"/>
                <w:iCs w:val="false"/>
              </w:rPr>
            </w:pPr>
            <w:r>
              <w:rPr>
                <w:rFonts w:cs="Arial" w:ascii="Arial" w:hAnsi="Arial"/>
                <w:i w:val="false"/>
                <w:iCs w:val="false"/>
                <w:sz w:val="20"/>
                <w:szCs w:val="20"/>
              </w:rPr>
              <w:t>Fornecedor (razão social, CNPJ/MF, endereço, contatos, representante)</w:t>
            </w:r>
          </w:p>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30" w:hanging="0"/>
              <w:jc w:val="center"/>
              <w:rPr>
                <w:i w:val="false"/>
                <w:i w:val="false"/>
                <w:iCs w:val="false"/>
              </w:rPr>
            </w:pPr>
            <w:r>
              <w:rPr>
                <w:rFonts w:cs="Arial" w:ascii="Arial" w:hAnsi="Arial"/>
                <w:i w:val="false"/>
                <w:iCs w:val="false"/>
                <w:sz w:val="20"/>
                <w:szCs w:val="20"/>
              </w:rPr>
              <w:t>X</w:t>
            </w:r>
          </w:p>
        </w:tc>
        <w:tc>
          <w:tcPr>
            <w:tcW w:w="1485" w:type="dxa"/>
            <w:tcBorders>
              <w:left w:val="single" w:sz="2" w:space="0" w:color="000000"/>
              <w:bottom w:val="single" w:sz="2" w:space="0" w:color="000000"/>
            </w:tcBorders>
          </w:tcPr>
          <w:p>
            <w:pPr>
              <w:pStyle w:val="Normal"/>
              <w:widowControl w:val="false"/>
              <w:ind w:right="-30" w:hanging="0"/>
              <w:jc w:val="both"/>
              <w:rPr>
                <w:i w:val="false"/>
                <w:i w:val="false"/>
                <w:iCs w:val="false"/>
              </w:rPr>
            </w:pPr>
            <w:r>
              <w:rPr>
                <w:rFonts w:cs="Arial" w:ascii="Arial" w:hAnsi="Arial"/>
                <w:i w:val="false"/>
                <w:iCs w:val="false"/>
                <w:sz w:val="20"/>
                <w:szCs w:val="20"/>
              </w:rPr>
              <w:t>Especificação</w:t>
            </w:r>
          </w:p>
        </w:tc>
        <w:tc>
          <w:tcPr>
            <w:tcW w:w="1305" w:type="dxa"/>
            <w:tcBorders>
              <w:left w:val="single" w:sz="2" w:space="0" w:color="000000"/>
              <w:bottom w:val="single" w:sz="2" w:space="0" w:color="000000"/>
            </w:tcBorders>
          </w:tcPr>
          <w:p>
            <w:pPr>
              <w:pStyle w:val="Normal"/>
              <w:widowControl w:val="false"/>
              <w:ind w:right="-30" w:hanging="0"/>
              <w:jc w:val="center"/>
              <w:rPr>
                <w:i w:val="false"/>
                <w:i w:val="false"/>
                <w:iCs w:val="false"/>
              </w:rPr>
            </w:pPr>
            <w:r>
              <w:rPr>
                <w:rFonts w:cs="Arial" w:ascii="Arial" w:hAnsi="Arial"/>
                <w:i w:val="false"/>
                <w:iCs w:val="false"/>
                <w:sz w:val="20"/>
                <w:szCs w:val="20"/>
              </w:rPr>
              <w:t xml:space="preserve">Marca </w:t>
            </w:r>
          </w:p>
          <w:p>
            <w:pPr>
              <w:pStyle w:val="Normal"/>
              <w:widowControl w:val="false"/>
              <w:ind w:right="-30" w:hanging="0"/>
              <w:jc w:val="center"/>
              <w:rPr>
                <w:i w:val="false"/>
                <w:i w:val="false"/>
                <w:iCs w:val="false"/>
              </w:rPr>
            </w:pPr>
            <w:r>
              <w:rPr>
                <w:rFonts w:cs="Arial" w:ascii="Arial" w:hAnsi="Arial"/>
                <w:i w:val="false"/>
                <w:iCs w:val="false"/>
                <w:sz w:val="20"/>
                <w:szCs w:val="20"/>
              </w:rPr>
              <w:t>(se exigida no edital)</w:t>
            </w:r>
          </w:p>
        </w:tc>
        <w:tc>
          <w:tcPr>
            <w:tcW w:w="1470" w:type="dxa"/>
            <w:tcBorders>
              <w:left w:val="single" w:sz="2" w:space="0" w:color="000000"/>
              <w:bottom w:val="single" w:sz="2" w:space="0" w:color="000000"/>
            </w:tcBorders>
          </w:tcPr>
          <w:p>
            <w:pPr>
              <w:pStyle w:val="Normal"/>
              <w:widowControl w:val="false"/>
              <w:ind w:right="-30" w:hanging="0"/>
              <w:jc w:val="center"/>
              <w:rPr>
                <w:i w:val="false"/>
                <w:i w:val="false"/>
                <w:iCs w:val="false"/>
              </w:rPr>
            </w:pPr>
            <w:r>
              <w:rPr>
                <w:rFonts w:cs="Arial" w:ascii="Arial" w:hAnsi="Arial"/>
                <w:i w:val="false"/>
                <w:iCs w:val="false"/>
                <w:sz w:val="20"/>
                <w:szCs w:val="20"/>
              </w:rPr>
              <w:t>Modelo</w:t>
            </w:r>
          </w:p>
          <w:p>
            <w:pPr>
              <w:pStyle w:val="Normal"/>
              <w:widowControl w:val="false"/>
              <w:ind w:right="-30" w:hanging="0"/>
              <w:jc w:val="center"/>
              <w:rPr>
                <w:i w:val="false"/>
                <w:i w:val="false"/>
                <w:iCs w:val="false"/>
              </w:rPr>
            </w:pPr>
            <w:r>
              <w:rPr>
                <w:rFonts w:cs="Arial" w:ascii="Arial" w:hAnsi="Arial"/>
                <w:i w:val="false"/>
                <w:iCs w:val="false"/>
                <w:sz w:val="20"/>
                <w:szCs w:val="20"/>
              </w:rPr>
              <w:t>(se exigido no edital)</w:t>
            </w:r>
          </w:p>
        </w:tc>
        <w:tc>
          <w:tcPr>
            <w:tcW w:w="990" w:type="dxa"/>
            <w:tcBorders>
              <w:left w:val="single" w:sz="2" w:space="0" w:color="000000"/>
              <w:bottom w:val="single" w:sz="2" w:space="0" w:color="000000"/>
            </w:tcBorders>
          </w:tcPr>
          <w:p>
            <w:pPr>
              <w:pStyle w:val="Normal"/>
              <w:widowControl w:val="false"/>
              <w:ind w:right="-30" w:hanging="0"/>
              <w:jc w:val="center"/>
              <w:rPr>
                <w:i w:val="false"/>
                <w:i w:val="false"/>
                <w:iCs w:val="false"/>
              </w:rPr>
            </w:pPr>
            <w:r>
              <w:rPr>
                <w:rFonts w:cs="Arial" w:ascii="Arial" w:hAnsi="Arial"/>
                <w:i w:val="false"/>
                <w:iCs w:val="false"/>
                <w:sz w:val="20"/>
                <w:szCs w:val="20"/>
              </w:rPr>
              <w:t>Unidade</w:t>
            </w:r>
          </w:p>
        </w:tc>
        <w:tc>
          <w:tcPr>
            <w:tcW w:w="779"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t>Qtd Min</w:t>
            </w:r>
          </w:p>
        </w:tc>
        <w:tc>
          <w:tcPr>
            <w:tcW w:w="796"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t>Qtd Máx</w:t>
            </w:r>
          </w:p>
        </w:tc>
        <w:tc>
          <w:tcPr>
            <w:tcW w:w="899" w:type="dxa"/>
            <w:tcBorders>
              <w:left w:val="single" w:sz="2" w:space="0" w:color="000000"/>
              <w:bottom w:val="single" w:sz="2" w:space="0" w:color="000000"/>
            </w:tcBorders>
          </w:tcPr>
          <w:p>
            <w:pPr>
              <w:pStyle w:val="Normal"/>
              <w:widowControl w:val="false"/>
              <w:ind w:right="-30" w:hanging="0"/>
              <w:jc w:val="center"/>
              <w:rPr>
                <w:i w:val="false"/>
                <w:i w:val="false"/>
                <w:iCs w:val="false"/>
              </w:rPr>
            </w:pPr>
            <w:r>
              <w:rPr>
                <w:rFonts w:cs="Arial" w:ascii="Arial" w:hAnsi="Arial"/>
                <w:i w:val="false"/>
                <w:iCs w:val="false"/>
                <w:sz w:val="20"/>
                <w:szCs w:val="20"/>
              </w:rPr>
              <w:t>Valor Un</w:t>
            </w:r>
          </w:p>
        </w:tc>
        <w:tc>
          <w:tcPr>
            <w:tcW w:w="1140" w:type="dxa"/>
            <w:tcBorders>
              <w:left w:val="single" w:sz="2" w:space="0" w:color="000000"/>
              <w:bottom w:val="single" w:sz="2" w:space="0" w:color="000000"/>
              <w:right w:val="single" w:sz="2" w:space="0" w:color="000000"/>
            </w:tcBorders>
          </w:tcPr>
          <w:p>
            <w:pPr>
              <w:pStyle w:val="Normal"/>
              <w:widowControl w:val="false"/>
              <w:ind w:right="-30" w:hanging="0"/>
              <w:jc w:val="center"/>
              <w:rPr>
                <w:i w:val="false"/>
                <w:i w:val="false"/>
                <w:iCs w:val="false"/>
              </w:rPr>
            </w:pPr>
            <w:r>
              <w:rPr>
                <w:rFonts w:cs="Arial" w:ascii="Arial" w:hAnsi="Arial"/>
                <w:i w:val="false"/>
                <w:iCs w:val="false"/>
                <w:sz w:val="20"/>
                <w:szCs w:val="20"/>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t>1</w:t>
            </w:r>
          </w:p>
        </w:tc>
        <w:tc>
          <w:tcPr>
            <w:tcW w:w="148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t>Conforme Edital</w:t>
            </w:r>
          </w:p>
        </w:tc>
        <w:tc>
          <w:tcPr>
            <w:tcW w:w="130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470"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990"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79"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96" w:type="dxa"/>
            <w:tcBorders>
              <w:left w:val="single" w:sz="2" w:space="0" w:color="000000"/>
              <w:bottom w:val="single" w:sz="2" w:space="0" w:color="000000"/>
            </w:tcBorders>
          </w:tcPr>
          <w:p>
            <w:pPr>
              <w:pStyle w:val="Contedodatabela"/>
              <w:widowControl w:val="false"/>
              <w:spacing w:before="0" w:after="200"/>
              <w:jc w:val="center"/>
              <w:rPr>
                <w:rFonts w:ascii="Arial" w:hAnsi="Arial"/>
                <w:sz w:val="20"/>
                <w:szCs w:val="20"/>
              </w:rPr>
            </w:pPr>
            <w:r>
              <w:rPr>
                <w:sz w:val="20"/>
                <w:szCs w:val="20"/>
              </w:rPr>
            </w:r>
          </w:p>
        </w:tc>
        <w:tc>
          <w:tcPr>
            <w:tcW w:w="899"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140"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r>
      <w:tr>
        <w:trPr>
          <w:trHeight w:val="174" w:hRule="atLeast"/>
        </w:trPr>
        <w:tc>
          <w:tcPr>
            <w:tcW w:w="495"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t>2</w:t>
            </w:r>
          </w:p>
        </w:tc>
        <w:tc>
          <w:tcPr>
            <w:tcW w:w="148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t>Conforme Edital</w:t>
            </w:r>
          </w:p>
        </w:tc>
        <w:tc>
          <w:tcPr>
            <w:tcW w:w="130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470"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990"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79"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96" w:type="dxa"/>
            <w:tcBorders>
              <w:left w:val="single" w:sz="2" w:space="0" w:color="000000"/>
              <w:bottom w:val="single" w:sz="2" w:space="0" w:color="000000"/>
            </w:tcBorders>
          </w:tcPr>
          <w:p>
            <w:pPr>
              <w:pStyle w:val="Contedodatabela"/>
              <w:widowControl w:val="false"/>
              <w:spacing w:before="0" w:after="200"/>
              <w:jc w:val="center"/>
              <w:rPr>
                <w:rFonts w:ascii="Arial" w:hAnsi="Arial"/>
                <w:sz w:val="20"/>
                <w:szCs w:val="20"/>
              </w:rPr>
            </w:pPr>
            <w:r>
              <w:rPr>
                <w:sz w:val="20"/>
                <w:szCs w:val="20"/>
              </w:rPr>
            </w:r>
          </w:p>
        </w:tc>
        <w:tc>
          <w:tcPr>
            <w:tcW w:w="899"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140"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r>
      <w:tr>
        <w:trPr>
          <w:trHeight w:val="174" w:hRule="atLeast"/>
        </w:trPr>
        <w:tc>
          <w:tcPr>
            <w:tcW w:w="495"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t>3</w:t>
            </w:r>
          </w:p>
        </w:tc>
        <w:tc>
          <w:tcPr>
            <w:tcW w:w="148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t>Conforme Edital</w:t>
            </w:r>
          </w:p>
        </w:tc>
        <w:tc>
          <w:tcPr>
            <w:tcW w:w="1305"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470"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990"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79" w:type="dxa"/>
            <w:tcBorders>
              <w:left w:val="single" w:sz="2" w:space="0" w:color="000000"/>
              <w:bottom w:val="single" w:sz="2" w:space="0" w:color="000000"/>
            </w:tcBorders>
          </w:tcPr>
          <w:p>
            <w:pPr>
              <w:pStyle w:val="Normal"/>
              <w:widowControl w:val="false"/>
              <w:ind w:right="-30" w:hanging="0"/>
              <w:jc w:val="center"/>
              <w:rPr>
                <w:rFonts w:ascii="Arial" w:hAnsi="Arial" w:cs="Arial"/>
                <w:i w:val="false"/>
                <w:i w:val="false"/>
                <w:iCs w:val="false"/>
                <w:sz w:val="20"/>
                <w:szCs w:val="20"/>
              </w:rPr>
            </w:pPr>
            <w:r>
              <w:rPr>
                <w:rFonts w:cs="Arial" w:ascii="Arial" w:hAnsi="Arial"/>
                <w:i w:val="false"/>
                <w:iCs w:val="false"/>
                <w:sz w:val="20"/>
                <w:szCs w:val="20"/>
              </w:rPr>
            </w:r>
          </w:p>
        </w:tc>
        <w:tc>
          <w:tcPr>
            <w:tcW w:w="796" w:type="dxa"/>
            <w:tcBorders>
              <w:left w:val="single" w:sz="2" w:space="0" w:color="000000"/>
              <w:bottom w:val="single" w:sz="2" w:space="0" w:color="000000"/>
            </w:tcBorders>
          </w:tcPr>
          <w:p>
            <w:pPr>
              <w:pStyle w:val="Contedodatabela"/>
              <w:widowControl w:val="false"/>
              <w:spacing w:before="0" w:after="200"/>
              <w:jc w:val="center"/>
              <w:rPr>
                <w:rFonts w:ascii="Arial" w:hAnsi="Arial"/>
                <w:sz w:val="20"/>
                <w:szCs w:val="20"/>
              </w:rPr>
            </w:pPr>
            <w:r>
              <w:rPr>
                <w:sz w:val="20"/>
                <w:szCs w:val="20"/>
              </w:rPr>
            </w:r>
          </w:p>
        </w:tc>
        <w:tc>
          <w:tcPr>
            <w:tcW w:w="899" w:type="dxa"/>
            <w:tcBorders>
              <w:left w:val="single" w:sz="2" w:space="0" w:color="000000"/>
              <w:bottom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c>
          <w:tcPr>
            <w:tcW w:w="1140"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i w:val="false"/>
                <w:i w:val="false"/>
                <w:iCs w:val="false"/>
                <w:sz w:val="20"/>
                <w:szCs w:val="20"/>
              </w:rPr>
            </w:pPr>
            <w:r>
              <w:rPr>
                <w:rFonts w:cs="Arial" w:ascii="Arial" w:hAnsi="Arial"/>
                <w:i w:val="false"/>
                <w:iCs w:val="false"/>
                <w:sz w:val="20"/>
                <w:szCs w:val="20"/>
              </w:rPr>
            </w:r>
          </w:p>
        </w:tc>
      </w:tr>
    </w:tbl>
    <w:p>
      <w:pPr>
        <w:pStyle w:val="Normal"/>
        <w:rPr>
          <w:rFonts w:ascii="Arial" w:hAnsi="Arial" w:cs="Arial"/>
          <w:i w:val="false"/>
          <w:i w:val="false"/>
          <w:iCs w:val="false"/>
          <w:sz w:val="20"/>
          <w:szCs w:val="20"/>
          <w:lang w:eastAsia="en-US"/>
        </w:rPr>
      </w:pPr>
      <w:r>
        <w:rPr>
          <w:rFonts w:cs="Arial" w:ascii="Arial" w:hAnsi="Arial"/>
          <w:i w:val="false"/>
          <w:iCs w:val="false"/>
          <w:sz w:val="20"/>
          <w:szCs w:val="20"/>
          <w:lang w:eastAsia="en-US"/>
        </w:rPr>
      </w:r>
    </w:p>
    <w:p>
      <w:pPr>
        <w:pStyle w:val="Normal"/>
        <w:numPr>
          <w:ilvl w:val="1"/>
          <w:numId w:val="1"/>
        </w:numPr>
        <w:spacing w:lineRule="auto" w:line="276" w:before="120" w:after="120"/>
        <w:ind w:left="425" w:hanging="0"/>
        <w:jc w:val="both"/>
        <w:rPr>
          <w:i w:val="false"/>
          <w:i w:val="false"/>
          <w:iCs w:val="false"/>
        </w:rPr>
      </w:pPr>
      <w:r>
        <w:rPr>
          <w:rFonts w:cs="Arial" w:ascii="Arial" w:hAnsi="Arial"/>
          <w:i w:val="false"/>
          <w:iCs w:val="false"/>
          <w:sz w:val="20"/>
          <w:szCs w:val="20"/>
          <w:lang w:eastAsia="en-US"/>
        </w:rPr>
        <w:t>A listagem do cadastro de reserva referente ao presente registro de preços consta como anexo a esta Ata.</w:t>
      </w:r>
    </w:p>
    <w:p>
      <w:pPr>
        <w:pStyle w:val="Nivel1"/>
        <w:numPr>
          <w:ilvl w:val="0"/>
          <w:numId w:val="1"/>
        </w:numPr>
        <w:rPr>
          <w:i w:val="false"/>
          <w:i w:val="false"/>
          <w:iCs w:val="false"/>
        </w:rPr>
      </w:pPr>
      <w:r>
        <w:rPr>
          <w:i w:val="false"/>
          <w:iCs w:val="false"/>
          <w:lang w:eastAsia="en-US"/>
        </w:rPr>
        <w:t xml:space="preserve">DA ADESÃO À ATA DE REGISTRO DE PREÇOS </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ormal"/>
        <w:numPr>
          <w:ilvl w:val="2"/>
          <w:numId w:val="1"/>
        </w:numPr>
        <w:spacing w:lineRule="auto" w:line="276" w:before="120" w:after="120"/>
        <w:ind w:left="1224" w:hanging="504"/>
        <w:jc w:val="both"/>
        <w:rPr>
          <w:i w:val="false"/>
          <w:i w:val="false"/>
          <w:iCs w:val="false"/>
        </w:rPr>
      </w:pPr>
      <w:r>
        <w:rPr>
          <w:rFonts w:cs="Arial" w:ascii="Arial" w:hAnsi="Arial"/>
          <w:i w:val="false"/>
          <w:iCs w:val="false"/>
          <w:sz w:val="20"/>
          <w:szCs w:val="20"/>
        </w:rPr>
        <w:t>Apresentação de justificativa da vantagem da adesão, inclusive em situações de provável desabastecimento ou descontinuidade de serviço público;</w:t>
      </w:r>
    </w:p>
    <w:p>
      <w:pPr>
        <w:pStyle w:val="Normal"/>
        <w:numPr>
          <w:ilvl w:val="2"/>
          <w:numId w:val="1"/>
        </w:numPr>
        <w:spacing w:lineRule="auto" w:line="276" w:before="120" w:after="120"/>
        <w:ind w:left="1224" w:hanging="504"/>
        <w:jc w:val="both"/>
        <w:rPr>
          <w:i w:val="false"/>
          <w:i w:val="false"/>
          <w:iCs w:val="false"/>
        </w:rPr>
      </w:pPr>
      <w:r>
        <w:rPr>
          <w:rFonts w:cs="Arial" w:ascii="Arial" w:hAnsi="Arial"/>
          <w:i w:val="false"/>
          <w:iCs w:val="false"/>
          <w:sz w:val="20"/>
          <w:szCs w:val="20"/>
        </w:rPr>
        <w:t>Demonstração de que os valores registrados estão compatíveis com os valores praticados pelo mercado na forma do art. 23 da Lei nº 14.133, de 2021; e</w:t>
      </w:r>
    </w:p>
    <w:p>
      <w:pPr>
        <w:pStyle w:val="Normal"/>
        <w:numPr>
          <w:ilvl w:val="2"/>
          <w:numId w:val="1"/>
        </w:numPr>
        <w:spacing w:lineRule="auto" w:line="276" w:before="120" w:after="120"/>
        <w:ind w:left="1224" w:hanging="504"/>
        <w:jc w:val="both"/>
        <w:rPr>
          <w:i w:val="false"/>
          <w:i w:val="false"/>
          <w:iCs w:val="false"/>
        </w:rPr>
      </w:pPr>
      <w:r>
        <w:rPr>
          <w:rFonts w:cs="Arial" w:ascii="Arial" w:hAnsi="Arial"/>
          <w:i w:val="false"/>
          <w:iCs w:val="false"/>
          <w:sz w:val="20"/>
          <w:szCs w:val="20"/>
        </w:rPr>
        <w:t>consulta e aceitação prévias do órgão ou da entidade gerenciadora e do fornecedor.</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A autorização do órgão ou entidade gerenciadora apenas será realizada após a aceitação da adesão pelo fornecedor.</w:t>
      </w:r>
    </w:p>
    <w:p>
      <w:pPr>
        <w:pStyle w:val="Normal"/>
        <w:widowControl/>
        <w:numPr>
          <w:ilvl w:val="2"/>
          <w:numId w:val="1"/>
        </w:numPr>
        <w:suppressAutoHyphens w:val="true"/>
        <w:bidi w:val="0"/>
        <w:spacing w:lineRule="auto" w:line="276" w:before="120" w:after="120"/>
        <w:ind w:left="1247" w:right="0" w:hanging="454"/>
        <w:jc w:val="both"/>
        <w:rPr>
          <w:i w:val="false"/>
          <w:i w:val="false"/>
          <w:iCs w:val="false"/>
        </w:rPr>
      </w:pPr>
      <w:r>
        <w:rPr>
          <w:rFonts w:cs="Arial" w:ascii="Arial" w:hAnsi="Arial"/>
          <w:i w:val="false"/>
          <w:iCs w:val="false"/>
          <w:sz w:val="20"/>
          <w:szCs w:val="20"/>
        </w:rPr>
        <w:t>O órgão ou entidade gerenciadora poderá rejeitar adesões caso elas possam acarretar prejuízo à execução de seus próprios contratos ou à sua capacidade de gerenciamento.</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Após a autorização do órgão ou da entidade gerenciadora, o órgão ou entidade não participante deverá efetivar a aquisição ou a contratação solicitada em até noventa dias, observado o prazo de vigência da ata.</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pPr>
        <w:pStyle w:val="Normal"/>
        <w:numPr>
          <w:ilvl w:val="0"/>
          <w:numId w:val="0"/>
        </w:numPr>
        <w:spacing w:lineRule="auto" w:line="276" w:before="120" w:after="120"/>
        <w:ind w:left="792" w:hanging="0"/>
        <w:jc w:val="both"/>
        <w:rPr>
          <w:b/>
          <w:b/>
          <w:bCs/>
          <w:i w:val="false"/>
          <w:i w:val="false"/>
          <w:iCs w:val="false"/>
        </w:rPr>
      </w:pPr>
      <w:r>
        <w:rPr>
          <w:rFonts w:cs="Arial" w:ascii="Arial" w:hAnsi="Arial"/>
          <w:b/>
          <w:bCs/>
          <w:i w:val="false"/>
          <w:iCs w:val="false"/>
          <w:sz w:val="20"/>
          <w:szCs w:val="20"/>
        </w:rPr>
        <w:t>Dos limites para adesão</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Para aquisição emergencial de medicamentos e material de consumo médico-hospitalar por órgãos e en</w:t>
      </w:r>
      <w:r>
        <w:rPr>
          <w:rFonts w:eastAsia="Arial" w:cs="Arial" w:ascii="Arial" w:hAnsi="Arial"/>
          <w:i w:val="false"/>
          <w:iCs w:val="false"/>
          <w:sz w:val="20"/>
          <w:szCs w:val="20"/>
        </w:rPr>
        <w:t>ti</w:t>
      </w:r>
      <w:r>
        <w:rPr>
          <w:rFonts w:cs="Arial" w:ascii="Arial" w:hAnsi="Arial"/>
          <w:i w:val="false"/>
          <w:iCs w:val="false"/>
          <w:sz w:val="20"/>
          <w:szCs w:val="20"/>
        </w:rPr>
        <w:t>dades da Administração Pública federal, estadual, distrital e municipal, a adesão à ata de registro de preços gerenciada pelo Ministério da Saúde não estará sujeita ao limite previsto no item 3.6.</w:t>
      </w:r>
    </w:p>
    <w:p>
      <w:pPr>
        <w:pStyle w:val="Normal"/>
        <w:numPr>
          <w:ilvl w:val="1"/>
          <w:numId w:val="1"/>
        </w:numPr>
        <w:spacing w:lineRule="auto" w:line="276" w:before="120" w:after="120"/>
        <w:ind w:left="792" w:hanging="432"/>
        <w:jc w:val="both"/>
        <w:rPr>
          <w:i w:val="false"/>
          <w:i w:val="false"/>
          <w:iCs w:val="false"/>
        </w:rPr>
      </w:pPr>
      <w:r>
        <w:rPr>
          <w:rFonts w:cs="Arial" w:ascii="Arial" w:hAnsi="Arial"/>
          <w:i w:val="false"/>
          <w:iCs w:val="false"/>
          <w:sz w:val="20"/>
          <w:szCs w:val="20"/>
        </w:rPr>
        <w:t>A adesão à ata de registro de preços por órgãos e en</w:t>
      </w:r>
      <w:r>
        <w:rPr>
          <w:rFonts w:eastAsia="Arial" w:cs="Arial" w:ascii="Arial" w:hAnsi="Arial"/>
          <w:i w:val="false"/>
          <w:iCs w:val="false"/>
          <w:sz w:val="20"/>
          <w:szCs w:val="20"/>
        </w:rPr>
        <w:t>ti</w:t>
      </w:r>
      <w:r>
        <w:rPr>
          <w:rFonts w:cs="Arial" w:ascii="Arial" w:hAnsi="Arial"/>
          <w:i w:val="false"/>
          <w:iCs w:val="false"/>
          <w:sz w:val="20"/>
          <w:szCs w:val="20"/>
        </w:rPr>
        <w:t>dades da Administração Pública estadual, distrital e municipal poderá ser exigida para fins de transferências voluntárias, não ficando sujeita ao limite de que trata o item 4.7, desde que seja des</w:t>
      </w:r>
      <w:r>
        <w:rPr>
          <w:rFonts w:eastAsia="Arial" w:cs="Arial" w:ascii="Arial" w:hAnsi="Arial"/>
          <w:i w:val="false"/>
          <w:iCs w:val="false"/>
          <w:sz w:val="20"/>
          <w:szCs w:val="20"/>
        </w:rPr>
        <w:t>ti</w:t>
      </w:r>
      <w:r>
        <w:rPr>
          <w:rFonts w:cs="Arial" w:ascii="Arial" w:hAnsi="Arial"/>
          <w:i w:val="false"/>
          <w:iCs w:val="false"/>
          <w:sz w:val="20"/>
          <w:szCs w:val="20"/>
        </w:rPr>
        <w:t>nada à execução descentralizada de programa ou projeto federal e comprovada a compatibilidade dos preços registrados com os valores praticados no mercado na forma do art. 23 da Lei nº 14.133, de 2021.</w:t>
      </w:r>
    </w:p>
    <w:p>
      <w:pPr>
        <w:pStyle w:val="SubTitNN"/>
        <w:numPr>
          <w:ilvl w:val="0"/>
          <w:numId w:val="0"/>
        </w:numPr>
        <w:spacing w:lineRule="auto" w:line="276" w:before="120" w:after="120"/>
        <w:ind w:left="792" w:hanging="0"/>
        <w:jc w:val="both"/>
        <w:rPr>
          <w:i w:val="false"/>
          <w:i w:val="false"/>
          <w:iCs w:val="false"/>
        </w:rPr>
      </w:pPr>
      <w:r>
        <w:rPr>
          <w:rFonts w:cs="Arial"/>
          <w:i w:val="false"/>
          <w:iCs w:val="false"/>
          <w:sz w:val="20"/>
          <w:szCs w:val="20"/>
        </w:rPr>
        <w:t>Vedação a acréscimo de quantitativos</w:t>
      </w:r>
    </w:p>
    <w:p>
      <w:pPr>
        <w:pStyle w:val="Normal"/>
        <w:numPr>
          <w:ilvl w:val="1"/>
          <w:numId w:val="1"/>
        </w:numPr>
        <w:spacing w:lineRule="auto" w:line="276" w:before="120" w:after="120"/>
        <w:ind w:left="792" w:hanging="432"/>
        <w:jc w:val="both"/>
        <w:rPr/>
      </w:pPr>
      <w:r>
        <w:rPr>
          <w:rFonts w:cs="Arial" w:ascii="Arial" w:hAnsi="Arial"/>
          <w:i w:val="false"/>
          <w:iCs w:val="false"/>
          <w:sz w:val="20"/>
          <w:szCs w:val="20"/>
        </w:rPr>
        <w:t>É vedado efetuar acréscimos nos quantitativos fixados na ata de registro de preços.</w:t>
      </w:r>
    </w:p>
    <w:p>
      <w:pPr>
        <w:pStyle w:val="Nivel1"/>
        <w:numPr>
          <w:ilvl w:val="0"/>
          <w:numId w:val="1"/>
        </w:numPr>
        <w:rPr>
          <w:iCs/>
        </w:rPr>
      </w:pPr>
      <w:r>
        <w:rPr/>
        <w:t>VALIDADE</w:t>
      </w:r>
      <w:r>
        <w:rPr>
          <w:iCs/>
        </w:rPr>
        <w:t>, FORMALIZAÇÃO DA ATA DE REGISTRO DE PREÇOS E CADASTRO RESERVA</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sz w:val="20"/>
          <w:szCs w:val="20"/>
        </w:rPr>
        <w:t xml:space="preserve">A validade da Ata de Registro de Preços será de 1 (um) ano, contado a partir do primeiro dia útil subsequente à data de divulgação no </w:t>
      </w:r>
      <w:r>
        <w:rPr>
          <w:rFonts w:cs="Arial" w:ascii="Arial" w:hAnsi="Arial"/>
          <w:color w:val="auto"/>
          <w:sz w:val="20"/>
          <w:szCs w:val="20"/>
        </w:rPr>
        <w:t>PNCP, podendo ser prorrogada por igual período, mediante a anuência do fornecedor, desde que comprovado o preço vantajoso.</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ascii="Arial" w:hAnsi="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ascii="Arial" w:hAnsi="Arial"/>
          <w:sz w:val="20"/>
          <w:szCs w:val="20"/>
        </w:rPr>
        <w:t>Na formalização do contrato ou do instrumento substituto deverá haver a indicação da disponibilidade dos créditos orçamentários respectivos.</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A contratação com os fornecedores registrados na ata será formalizada pelo órgão ou pela en</w:t>
      </w:r>
      <w:r>
        <w:rPr>
          <w:rFonts w:eastAsia="Arial" w:cs="Arial" w:ascii="Arial" w:hAnsi="Arial"/>
          <w:color w:val="auto"/>
          <w:sz w:val="20"/>
          <w:szCs w:val="20"/>
        </w:rPr>
        <w:t>ti</w:t>
      </w:r>
      <w:r>
        <w:rPr>
          <w:rFonts w:cs="Arial" w:ascii="Arial" w:hAnsi="Arial"/>
          <w:color w:val="auto"/>
          <w:sz w:val="20"/>
          <w:szCs w:val="20"/>
        </w:rPr>
        <w:t>dade interessada por intermédio de instrumento contratual, emissão de nota de empenho de despesa, autorização de compra ou outro instrumento hábil, conforme o art. 95 da Lei nº 14.133, de 2021.</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ascii="Arial" w:hAnsi="Arial"/>
          <w:sz w:val="20"/>
          <w:szCs w:val="20"/>
        </w:rPr>
        <w:t>O instrumento contratual de que trata o item 4.2. deverá ser assinado no prazo de validade da ata de registro de preços.</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Os contratos decorrentes do sistema de registro de preços poderão ser alterados, observado o art. 124 da Lei nº 14.133, de 2021.</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Após a homologação da licitação ou da contratação direta, deverão ser observadas as seguintes condições para formalização da ata de registro de preços:</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cs="Arial" w:ascii="Arial" w:hAnsi="Arial"/>
          <w:color w:val="auto"/>
          <w:sz w:val="20"/>
          <w:szCs w:val="20"/>
        </w:rPr>
        <w:t>Serão registrados na ata os preços e os quantita</w:t>
      </w:r>
      <w:r>
        <w:rPr>
          <w:rFonts w:eastAsia="Arial" w:cs="Arial" w:ascii="Arial" w:hAnsi="Arial"/>
          <w:color w:val="auto"/>
          <w:sz w:val="20"/>
          <w:szCs w:val="20"/>
        </w:rPr>
        <w:t>ti</w:t>
      </w:r>
      <w:r>
        <w:rPr>
          <w:rFonts w:cs="Arial" w:ascii="Arial" w:hAnsi="Arial"/>
          <w:color w:val="auto"/>
          <w:sz w:val="20"/>
          <w:szCs w:val="20"/>
        </w:rPr>
        <w:t xml:space="preserve">vos do adjudicatário, devendo ser observada a possibilidade de o licitante oferecer ou não proposta em quantitativo inferior ao máximo previsto </w:t>
      </w:r>
      <w:r>
        <w:rPr>
          <w:rFonts w:cs="Arial" w:ascii="Arial" w:hAnsi="Arial"/>
          <w:i/>
          <w:iCs/>
          <w:color w:val="auto"/>
          <w:sz w:val="20"/>
          <w:szCs w:val="20"/>
        </w:rPr>
        <w:t xml:space="preserve">no edital </w:t>
      </w:r>
      <w:r>
        <w:rPr>
          <w:rFonts w:cs="Arial" w:ascii="Arial" w:hAnsi="Arial"/>
          <w:color w:val="auto"/>
          <w:sz w:val="20"/>
          <w:szCs w:val="20"/>
        </w:rPr>
        <w:t>e se obrigar nos limites dela;</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cs="Arial" w:ascii="Arial" w:hAnsi="Arial"/>
          <w:color w:val="auto"/>
          <w:sz w:val="20"/>
          <w:szCs w:val="20"/>
        </w:rPr>
        <w:t>Será incluído na ata, na forma de anexo, o registro dos licitantes ou dos fornecedores que:</w:t>
      </w:r>
    </w:p>
    <w:p>
      <w:pPr>
        <w:pStyle w:val="Normal"/>
        <w:widowControl/>
        <w:numPr>
          <w:ilvl w:val="3"/>
          <w:numId w:val="1"/>
        </w:numPr>
        <w:suppressAutoHyphens w:val="true"/>
        <w:bidi w:val="0"/>
        <w:spacing w:lineRule="auto" w:line="276" w:before="120" w:after="120"/>
        <w:ind w:left="1474" w:right="0" w:hanging="0"/>
        <w:jc w:val="both"/>
        <w:rPr>
          <w:rFonts w:ascii="Arial" w:hAnsi="Arial"/>
          <w:sz w:val="20"/>
          <w:szCs w:val="20"/>
        </w:rPr>
      </w:pPr>
      <w:r>
        <w:rPr>
          <w:rFonts w:cs="Arial" w:ascii="Arial" w:hAnsi="Arial"/>
          <w:color w:val="auto"/>
          <w:sz w:val="20"/>
          <w:szCs w:val="20"/>
        </w:rPr>
        <w:t xml:space="preserve">Aceitarem cotar os bens, as obras ou os serviços com preços iguais aos do adjudicatário, observada a classificação da licitação; e </w:t>
      </w:r>
    </w:p>
    <w:p>
      <w:pPr>
        <w:pStyle w:val="Normal"/>
        <w:widowControl/>
        <w:numPr>
          <w:ilvl w:val="3"/>
          <w:numId w:val="1"/>
        </w:numPr>
        <w:suppressAutoHyphens w:val="true"/>
        <w:bidi w:val="0"/>
        <w:spacing w:lineRule="auto" w:line="276" w:before="120" w:after="120"/>
        <w:ind w:left="1474" w:right="0" w:hanging="0"/>
        <w:jc w:val="both"/>
        <w:rPr>
          <w:rFonts w:ascii="Arial" w:hAnsi="Arial"/>
          <w:sz w:val="20"/>
          <w:szCs w:val="20"/>
        </w:rPr>
      </w:pPr>
      <w:r>
        <w:rPr>
          <w:rFonts w:cs="Arial" w:ascii="Arial" w:hAnsi="Arial"/>
          <w:color w:val="auto"/>
          <w:sz w:val="20"/>
          <w:szCs w:val="20"/>
        </w:rPr>
        <w:t>Mantiverem sua proposta original.</w:t>
      </w:r>
      <w:bookmarkStart w:id="0" w:name="cadastro_reserva"/>
      <w:bookmarkEnd w:id="0"/>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cs="Arial" w:ascii="Arial" w:hAnsi="Arial"/>
          <w:color w:val="auto"/>
          <w:sz w:val="20"/>
          <w:szCs w:val="20"/>
        </w:rPr>
        <w:t>Será respeitada, nas contratações, a ordem de classificação dos licitantes ou dos fornecedores registrados na ata.</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O registro a que se refere o item 5.4.2</w:t>
      </w:r>
      <w:r>
        <w:rPr>
          <w:rFonts w:cs="Arial" w:ascii="Arial" w:hAnsi="Arial"/>
          <w:b/>
          <w:bCs/>
          <w:color w:val="auto"/>
          <w:sz w:val="20"/>
          <w:szCs w:val="20"/>
        </w:rPr>
        <w:t xml:space="preserve"> </w:t>
      </w:r>
      <w:r>
        <w:rPr>
          <w:rFonts w:cs="Arial" w:ascii="Arial" w:hAnsi="Arial"/>
          <w:color w:val="auto"/>
          <w:sz w:val="20"/>
          <w:szCs w:val="20"/>
        </w:rPr>
        <w:t>tem por obje</w:t>
      </w:r>
      <w:r>
        <w:rPr>
          <w:rFonts w:eastAsia="Arial" w:cs="Arial" w:ascii="Arial" w:hAnsi="Arial"/>
          <w:color w:val="auto"/>
          <w:sz w:val="20"/>
          <w:szCs w:val="20"/>
        </w:rPr>
        <w:t>ti</w:t>
      </w:r>
      <w:r>
        <w:rPr>
          <w:rFonts w:cs="Arial" w:ascii="Arial" w:hAnsi="Arial"/>
          <w:color w:val="auto"/>
          <w:sz w:val="20"/>
          <w:szCs w:val="20"/>
        </w:rPr>
        <w:t>vo a formação de cadastro de reserva para o caso de impossibilidade de atendimento pelo signatário da ata.</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Para fins da ordem de classificação, os licitantes ou fornecedores que aceitarem reduzir suas propostas para o preço do adjudicatário antecederão aqueles que mantiverem sua proposta original.</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 xml:space="preserve">A habilitação dos licitantes que comporão o cadastro de reserva a que se refere o item </w:t>
      </w:r>
      <w:r>
        <w:rPr>
          <w:rFonts w:cs="Arial" w:ascii="Arial" w:hAnsi="Arial"/>
          <w:color w:val="auto"/>
          <w:sz w:val="20"/>
          <w:szCs w:val="20"/>
        </w:rPr>
        <w:fldChar w:fldCharType="begin"/>
      </w:r>
      <w:r>
        <w:rPr>
          <w:sz w:val="20"/>
          <w:szCs w:val="20"/>
          <w:rFonts w:cs="Arial" w:ascii="Arial" w:hAnsi="Arial"/>
          <w:color w:val="auto"/>
        </w:rPr>
        <w:instrText xml:space="preserve"> REF cadastro_reserva \r \h </w:instrText>
      </w:r>
      <w:r>
        <w:rPr>
          <w:sz w:val="20"/>
          <w:szCs w:val="20"/>
          <w:rFonts w:cs="Arial" w:ascii="Arial" w:hAnsi="Arial"/>
          <w:color w:val="auto"/>
        </w:rPr>
        <w:fldChar w:fldCharType="separate"/>
      </w:r>
      <w:r>
        <w:rPr>
          <w:sz w:val="20"/>
          <w:szCs w:val="20"/>
          <w:rFonts w:cs="Arial" w:ascii="Arial" w:hAnsi="Arial"/>
          <w:color w:val="auto"/>
        </w:rPr>
        <w:t>4.4.2.2.</w:t>
      </w:r>
      <w:r>
        <w:rPr>
          <w:sz w:val="20"/>
          <w:szCs w:val="20"/>
          <w:rFonts w:cs="Arial" w:ascii="Arial" w:hAnsi="Arial"/>
          <w:color w:val="auto"/>
        </w:rPr>
        <w:fldChar w:fldCharType="end"/>
      </w:r>
      <w:r>
        <w:rPr>
          <w:rFonts w:cs="Arial" w:ascii="Arial" w:hAnsi="Arial"/>
          <w:color w:val="auto"/>
          <w:sz w:val="20"/>
          <w:szCs w:val="20"/>
        </w:rPr>
        <w:t xml:space="preserve"> somente será efetuada quando houver necessidade de contratação dos licitantes remanescentes, nas seguintes hipóteses:</w:t>
      </w:r>
    </w:p>
    <w:p>
      <w:pPr>
        <w:pStyle w:val="Normal"/>
        <w:widowControl/>
        <w:numPr>
          <w:ilvl w:val="2"/>
          <w:numId w:val="1"/>
        </w:numPr>
        <w:suppressAutoHyphens w:val="true"/>
        <w:bidi w:val="0"/>
        <w:spacing w:lineRule="auto" w:line="276" w:before="120" w:after="120"/>
        <w:ind w:left="737" w:right="0" w:hanging="0"/>
        <w:jc w:val="both"/>
        <w:rPr>
          <w:rFonts w:ascii="Arial" w:hAnsi="Arial"/>
          <w:sz w:val="20"/>
          <w:szCs w:val="20"/>
        </w:rPr>
      </w:pPr>
      <w:r>
        <w:rPr>
          <w:rFonts w:cs="Arial" w:ascii="Arial" w:hAnsi="Arial"/>
          <w:color w:val="auto"/>
          <w:sz w:val="20"/>
          <w:szCs w:val="20"/>
        </w:rPr>
        <w:t>Quando  o</w:t>
      </w:r>
      <w:r>
        <w:rPr>
          <w:rFonts w:cs="Arial" w:ascii="Arial" w:hAnsi="Arial"/>
          <w:i w:val="false"/>
          <w:iCs w:val="false"/>
          <w:color w:val="auto"/>
          <w:sz w:val="20"/>
          <w:szCs w:val="20"/>
        </w:rPr>
        <w:t xml:space="preserve"> licitante vencedor não assinar a ata de registro de preços, no prazo e nas condições estabelecidos no edital; e</w:t>
      </w:r>
    </w:p>
    <w:p>
      <w:pPr>
        <w:pStyle w:val="Nvel3"/>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cs="Arial"/>
          <w:color w:val="auto"/>
          <w:sz w:val="20"/>
          <w:szCs w:val="20"/>
        </w:rPr>
        <w:t>houver o cancelamento do registro do licitante ou do registro de preços nas hipóteses previstas no item 7.</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O preço registrado com indicação dos licitantes e fornecedores será divulgado no PNCP e ficará disponibilizado durante a vigência da ata de registro de preços.</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cs="Arial" w:ascii="Arial" w:hAnsi="Arial"/>
          <w:color w:val="auto"/>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A ata de registro de preços será assinada por meio de assinatura digital e disponibilizada no Sistema de Registro de Preços.</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Quando o convocado não assinar a ata de registro de preços no prazo e nas condições estabelecidos no edital ou no aviso de contratação, e observado o disposto no item 4.7, observando o item 5.7 e subitens, fica facultado à Administração convocar os licitantes remanescentes do cadastro de reserva, na ordem de classificação, para fazê-lo em igual prazo e nas condições propostas pelo primeiro classificado.</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Na hipótese de nenhum dos licitantes que trata o item 5.4.2.1, aceitar a contratação nos termos do item anterior, a Administração, observados o valor es</w:t>
      </w:r>
      <w:r>
        <w:rPr>
          <w:rFonts w:eastAsia="Arial" w:cs="Arial" w:ascii="Arial" w:hAnsi="Arial"/>
          <w:color w:val="auto"/>
          <w:sz w:val="20"/>
          <w:szCs w:val="20"/>
        </w:rPr>
        <w:t>ti</w:t>
      </w:r>
      <w:r>
        <w:rPr>
          <w:rFonts w:cs="Arial" w:ascii="Arial" w:hAnsi="Arial"/>
          <w:color w:val="auto"/>
          <w:sz w:val="20"/>
          <w:szCs w:val="20"/>
        </w:rPr>
        <w:t>mado e sua eventual atualização nos termos</w:t>
      </w:r>
      <w:r>
        <w:rPr>
          <w:rFonts w:cs="Arial" w:ascii="Arial" w:hAnsi="Arial"/>
          <w:i w:val="false"/>
          <w:iCs w:val="false"/>
          <w:color w:val="auto"/>
          <w:sz w:val="20"/>
          <w:szCs w:val="20"/>
        </w:rPr>
        <w:t xml:space="preserve"> do edital</w:t>
      </w:r>
      <w:r>
        <w:rPr>
          <w:rFonts w:cs="Arial" w:ascii="Arial" w:hAnsi="Arial"/>
          <w:color w:val="auto"/>
          <w:sz w:val="20"/>
          <w:szCs w:val="20"/>
        </w:rPr>
        <w:t>, poderá:</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cs="Arial" w:ascii="Arial" w:hAnsi="Arial"/>
          <w:color w:val="auto"/>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cs="Arial" w:ascii="Arial" w:hAnsi="Arial"/>
          <w:color w:val="auto"/>
          <w:sz w:val="20"/>
          <w:szCs w:val="20"/>
        </w:rPr>
        <w:t>Adjudicar e firmar o contrato nas condições ofertadas pelos licitantes ou fornecedores remanescentes, atendida a ordem classificatória, quando frustrada a negociação de melhor condição.</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color w:val="auto"/>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widowControl w:val="false"/>
        <w:numPr>
          <w:ilvl w:val="0"/>
          <w:numId w:val="1"/>
        </w:numPr>
        <w:spacing w:before="240" w:after="0"/>
        <w:ind w:left="360" w:right="-30" w:hanging="360"/>
        <w:jc w:val="both"/>
        <w:rPr>
          <w:rFonts w:ascii="Arial" w:hAnsi="Arial" w:cs="Arial"/>
          <w:iCs/>
          <w:sz w:val="20"/>
          <w:szCs w:val="20"/>
        </w:rPr>
      </w:pPr>
      <w:r>
        <w:rPr>
          <w:rFonts w:cs="Arial" w:ascii="Arial" w:hAnsi="Arial"/>
          <w:b/>
          <w:bCs/>
          <w:sz w:val="20"/>
          <w:szCs w:val="20"/>
        </w:rPr>
        <w:t>ALTERAÇÃO OU ATUALIZAÇÃO DOS PREÇOS REGISTRADOS</w:t>
      </w:r>
    </w:p>
    <w:p>
      <w:pPr>
        <w:pStyle w:val="ListParagraph"/>
        <w:numPr>
          <w:ilvl w:val="1"/>
          <w:numId w:val="1"/>
        </w:numPr>
        <w:spacing w:lineRule="auto" w:line="276" w:before="120" w:after="120"/>
        <w:ind w:left="425" w:hanging="0"/>
        <w:contextualSpacing/>
        <w:jc w:val="both"/>
        <w:rPr>
          <w:rFonts w:ascii="Arial" w:hAnsi="Arial" w:cs="Arial"/>
          <w:sz w:val="20"/>
          <w:szCs w:val="20"/>
        </w:rPr>
      </w:pPr>
      <w:r>
        <w:rPr>
          <w:rFonts w:cs="Arial" w:ascii="Arial" w:hAnsi="Arial"/>
          <w:sz w:val="20"/>
          <w:szCs w:val="20"/>
        </w:rPr>
        <w:t>Os preços registrados poderão ser alterados ou atualizados em decorrência de eventual redução dos preços pra</w:t>
      </w:r>
      <w:r>
        <w:rPr>
          <w:rFonts w:eastAsia="Calibri" w:cs="Arial" w:ascii="Arial" w:hAnsi="Arial"/>
          <w:sz w:val="20"/>
          <w:szCs w:val="20"/>
        </w:rPr>
        <w:t>ti</w:t>
      </w:r>
      <w:r>
        <w:rPr>
          <w:rFonts w:cs="Arial" w:ascii="Arial" w:hAnsi="Arial"/>
          <w:sz w:val="20"/>
          <w:szCs w:val="20"/>
        </w:rPr>
        <w:t>cados no mercado ou de fato que eleve o custo dos bens, das obras ou dos serviços registrados, nas seguintes situações:</w:t>
      </w:r>
    </w:p>
    <w:p>
      <w:pPr>
        <w:pStyle w:val="Normal"/>
        <w:widowControl/>
        <w:numPr>
          <w:ilvl w:val="2"/>
          <w:numId w:val="1"/>
        </w:numPr>
        <w:suppressAutoHyphens w:val="true"/>
        <w:bidi w:val="0"/>
        <w:spacing w:lineRule="auto" w:line="276" w:before="120" w:after="120"/>
        <w:ind w:left="794" w:right="0" w:hanging="0"/>
        <w:jc w:val="both"/>
        <w:rPr>
          <w:rFonts w:ascii="Arial" w:hAnsi="Arial" w:cs="Arial"/>
          <w:sz w:val="20"/>
          <w:szCs w:val="20"/>
        </w:rPr>
      </w:pPr>
      <w:r>
        <w:rPr>
          <w:rFonts w:cs="Arial" w:ascii="Arial" w:hAnsi="Arial"/>
          <w:sz w:val="20"/>
          <w:szCs w:val="20"/>
        </w:rPr>
        <w:t xml:space="preserve">Em caso de força maior, caso fortuito ou fato do príncipe ou em decorrência de fatos imprevisíveis ou previsíveis de consequências incalculáveis, que inviabilizem a execução da ata tal como pactuada, nos termos da </w:t>
      </w:r>
      <w:r>
        <w:rPr>
          <w:rFonts w:cs="Arial" w:ascii="Arial" w:hAnsi="Arial"/>
          <w:color w:val="0000EF"/>
          <w:sz w:val="20"/>
          <w:szCs w:val="20"/>
        </w:rPr>
        <w:t>alínea “d” do inciso II do caput do art. 124 da Lei nº 14.133, de 2021.</w:t>
      </w:r>
    </w:p>
    <w:p>
      <w:pPr>
        <w:pStyle w:val="Normal"/>
        <w:widowControl/>
        <w:numPr>
          <w:ilvl w:val="2"/>
          <w:numId w:val="1"/>
        </w:numPr>
        <w:suppressAutoHyphens w:val="true"/>
        <w:bidi w:val="0"/>
        <w:spacing w:lineRule="auto" w:line="276" w:before="120" w:after="120"/>
        <w:ind w:left="794" w:right="0" w:hanging="0"/>
        <w:jc w:val="both"/>
        <w:rPr>
          <w:color w:val="auto"/>
        </w:rPr>
      </w:pPr>
      <w:r>
        <w:rPr>
          <w:rFonts w:cs="Arial" w:ascii="Arial" w:hAnsi="Arial"/>
          <w:color w:val="auto"/>
          <w:sz w:val="20"/>
          <w:szCs w:val="20"/>
        </w:rPr>
        <w:t>Em caso de criação, alteração ou ex</w:t>
      </w:r>
      <w:r>
        <w:rPr>
          <w:rFonts w:eastAsia="Calibri" w:cs="Arial" w:ascii="Arial" w:hAnsi="Arial"/>
          <w:color w:val="auto"/>
          <w:sz w:val="20"/>
          <w:szCs w:val="20"/>
        </w:rPr>
        <w:t>ti</w:t>
      </w:r>
      <w:r>
        <w:rPr>
          <w:rFonts w:cs="Arial" w:ascii="Arial" w:hAnsi="Arial"/>
          <w:color w:val="auto"/>
          <w:sz w:val="20"/>
          <w:szCs w:val="20"/>
        </w:rPr>
        <w:t xml:space="preserve">nção de quaisquer tributos ou encargos legais ou a superveniência de disposições legais, com comprovada repercussão sobre os preços registrados; </w:t>
      </w:r>
    </w:p>
    <w:p>
      <w:pPr>
        <w:pStyle w:val="Normal"/>
        <w:widowControl/>
        <w:numPr>
          <w:ilvl w:val="2"/>
          <w:numId w:val="1"/>
        </w:numPr>
        <w:suppressAutoHyphens w:val="true"/>
        <w:bidi w:val="0"/>
        <w:spacing w:lineRule="auto" w:line="276" w:before="120" w:after="120"/>
        <w:ind w:left="794" w:right="0" w:hanging="0"/>
        <w:jc w:val="both"/>
        <w:rPr>
          <w:color w:val="auto"/>
        </w:rPr>
      </w:pPr>
      <w:r>
        <w:rPr>
          <w:rFonts w:cs="Arial" w:ascii="Arial" w:hAnsi="Arial"/>
          <w:color w:val="auto"/>
          <w:sz w:val="20"/>
          <w:szCs w:val="20"/>
        </w:rPr>
        <w:t>Na hipótese de previsão no edital ou no aviso de contratação direta de cláusula de reajustamento ou repactuação sobre os preços registrados, nos termos da Lei nº 14.133, de 2021.</w:t>
      </w:r>
    </w:p>
    <w:p>
      <w:pPr>
        <w:pStyle w:val="Normal"/>
        <w:widowControl/>
        <w:numPr>
          <w:ilvl w:val="3"/>
          <w:numId w:val="1"/>
        </w:numPr>
        <w:suppressAutoHyphens w:val="true"/>
        <w:bidi w:val="0"/>
        <w:spacing w:lineRule="auto" w:line="276" w:before="120" w:after="120"/>
        <w:ind w:left="1417" w:right="0" w:hanging="0"/>
        <w:jc w:val="both"/>
        <w:rPr>
          <w:color w:val="auto"/>
        </w:rPr>
      </w:pPr>
      <w:r>
        <w:rPr>
          <w:rFonts w:cs="Arial" w:ascii="Arial" w:hAnsi="Arial"/>
          <w:color w:val="auto"/>
          <w:sz w:val="20"/>
          <w:szCs w:val="20"/>
        </w:rPr>
        <w:t xml:space="preserve">No caso do reajustamento, deverá ser respeitada a contagem da anualidade e o índice previstos para a contratação;  </w:t>
      </w:r>
    </w:p>
    <w:p>
      <w:pPr>
        <w:pStyle w:val="Normal"/>
        <w:widowControl/>
        <w:numPr>
          <w:ilvl w:val="3"/>
          <w:numId w:val="1"/>
        </w:numPr>
        <w:suppressAutoHyphens w:val="true"/>
        <w:bidi w:val="0"/>
        <w:spacing w:lineRule="auto" w:line="276" w:before="120" w:after="120"/>
        <w:ind w:left="1417" w:right="0" w:hanging="0"/>
        <w:jc w:val="both"/>
        <w:rPr>
          <w:color w:val="auto"/>
        </w:rPr>
      </w:pPr>
      <w:r>
        <w:rPr>
          <w:rFonts w:cs="Arial" w:ascii="Arial" w:hAnsi="Arial"/>
          <w:color w:val="auto"/>
          <w:sz w:val="20"/>
          <w:szCs w:val="20"/>
        </w:rPr>
        <w:t>No caso da repactuação, poderá ser a pedido do interessado, conforme critérios definidos para a contratação.</w:t>
      </w:r>
    </w:p>
    <w:p>
      <w:pPr>
        <w:pStyle w:val="Nivel1"/>
        <w:numPr>
          <w:ilvl w:val="0"/>
          <w:numId w:val="1"/>
        </w:numPr>
        <w:ind w:left="357" w:hanging="357"/>
        <w:rPr/>
      </w:pPr>
      <w:r>
        <w:rPr/>
        <w:t>NEGOCIAÇÃO DE PREÇOS REGISTRADOS</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Na hipótese de o preço registrado tornar-se superior ao preço pra</w:t>
      </w:r>
      <w:r>
        <w:rPr>
          <w:rFonts w:eastAsia="Calibri" w:cs="Arial" w:ascii="Arial" w:hAnsi="Arial"/>
          <w:iCs/>
          <w:sz w:val="20"/>
          <w:szCs w:val="20"/>
        </w:rPr>
        <w:t>ti</w:t>
      </w:r>
      <w:r>
        <w:rPr>
          <w:rFonts w:cs="Arial" w:ascii="Arial" w:hAnsi="Arial"/>
          <w:iCs/>
          <w:sz w:val="20"/>
          <w:szCs w:val="20"/>
        </w:rPr>
        <w:t>cado no mercado por mo</w:t>
      </w:r>
      <w:r>
        <w:rPr>
          <w:rFonts w:eastAsia="Calibri" w:cs="Arial" w:ascii="Arial" w:hAnsi="Arial"/>
          <w:iCs/>
          <w:sz w:val="20"/>
          <w:szCs w:val="20"/>
        </w:rPr>
        <w:t>ti</w:t>
      </w:r>
      <w:r>
        <w:rPr>
          <w:rFonts w:cs="Arial" w:ascii="Arial" w:hAnsi="Arial"/>
          <w:iCs/>
          <w:sz w:val="20"/>
          <w:szCs w:val="20"/>
        </w:rPr>
        <w:t>vo superveniente, o órgão ou en</w:t>
      </w:r>
      <w:r>
        <w:rPr>
          <w:rFonts w:eastAsia="Calibri" w:cs="Arial" w:ascii="Arial" w:hAnsi="Arial"/>
          <w:iCs/>
          <w:sz w:val="20"/>
          <w:szCs w:val="20"/>
        </w:rPr>
        <w:t>ti</w:t>
      </w:r>
      <w:r>
        <w:rPr>
          <w:rFonts w:cs="Arial" w:ascii="Arial" w:hAnsi="Arial"/>
          <w:iCs/>
          <w:sz w:val="20"/>
          <w:szCs w:val="20"/>
        </w:rPr>
        <w:t>dade gerenciadora convocará o fornecedor para negociar a redução do preço registrado.</w:t>
      </w:r>
    </w:p>
    <w:p>
      <w:pPr>
        <w:pStyle w:val="Normal"/>
        <w:widowControl/>
        <w:numPr>
          <w:ilvl w:val="2"/>
          <w:numId w:val="1"/>
        </w:numPr>
        <w:suppressAutoHyphens w:val="true"/>
        <w:bidi w:val="0"/>
        <w:spacing w:lineRule="auto" w:line="276" w:before="120" w:after="120"/>
        <w:ind w:left="794" w:right="0" w:hanging="0"/>
        <w:jc w:val="both"/>
        <w:rPr>
          <w:rFonts w:ascii="Arial" w:hAnsi="Arial" w:cs="Arial"/>
          <w:iCs/>
          <w:sz w:val="20"/>
          <w:szCs w:val="20"/>
        </w:rPr>
      </w:pPr>
      <w:r>
        <w:rPr>
          <w:rFonts w:cs="Arial" w:ascii="Arial" w:hAnsi="Arial"/>
          <w:iCs/>
          <w:color w:val="000000"/>
          <w:sz w:val="20"/>
          <w:szCs w:val="20"/>
        </w:rPr>
        <w:t>Caso não aceite reduzir seu preço aos valores pra</w:t>
      </w:r>
      <w:r>
        <w:rPr>
          <w:rFonts w:eastAsia="Calibri" w:cs="Arial" w:ascii="Arial" w:hAnsi="Arial"/>
          <w:iCs/>
          <w:color w:val="000000"/>
          <w:sz w:val="20"/>
          <w:szCs w:val="20"/>
        </w:rPr>
        <w:t>ti</w:t>
      </w:r>
      <w:r>
        <w:rPr>
          <w:rFonts w:cs="Arial" w:ascii="Arial" w:hAnsi="Arial"/>
          <w:iCs/>
          <w:color w:val="000000"/>
          <w:sz w:val="20"/>
          <w:szCs w:val="20"/>
        </w:rPr>
        <w:t>cados pelo mercado, o fornecedor será liberado do compromisso assumido quanto ao item registrado, sem aplicação de penalidades administrativas.</w:t>
      </w:r>
    </w:p>
    <w:p>
      <w:pPr>
        <w:pStyle w:val="Normal"/>
        <w:widowControl/>
        <w:numPr>
          <w:ilvl w:val="2"/>
          <w:numId w:val="1"/>
        </w:numPr>
        <w:suppressAutoHyphens w:val="true"/>
        <w:bidi w:val="0"/>
        <w:spacing w:lineRule="auto" w:line="276" w:before="120" w:after="120"/>
        <w:ind w:left="794" w:right="0" w:hanging="0"/>
        <w:jc w:val="both"/>
        <w:rPr>
          <w:rFonts w:ascii="Arial" w:hAnsi="Arial" w:cs="Arial"/>
          <w:iCs/>
          <w:sz w:val="20"/>
          <w:szCs w:val="20"/>
        </w:rPr>
      </w:pPr>
      <w:r>
        <w:rPr>
          <w:rFonts w:cs="Arial" w:ascii="Arial" w:hAnsi="Arial"/>
          <w:iCs/>
          <w:color w:val="000000"/>
          <w:sz w:val="20"/>
          <w:szCs w:val="20"/>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ormal"/>
        <w:widowControl/>
        <w:numPr>
          <w:ilvl w:val="2"/>
          <w:numId w:val="1"/>
        </w:numPr>
        <w:suppressAutoHyphens w:val="true"/>
        <w:bidi w:val="0"/>
        <w:spacing w:lineRule="auto" w:line="276" w:before="120" w:after="120"/>
        <w:ind w:left="794" w:right="0" w:hanging="0"/>
        <w:jc w:val="both"/>
        <w:rPr>
          <w:rFonts w:ascii="Arial" w:hAnsi="Arial" w:cs="Arial"/>
          <w:iCs/>
          <w:sz w:val="20"/>
          <w:szCs w:val="20"/>
        </w:rPr>
      </w:pPr>
      <w:r>
        <w:rPr>
          <w:rFonts w:cs="Arial" w:ascii="Arial" w:hAnsi="Arial"/>
          <w:iCs/>
          <w:color w:val="000000"/>
          <w:sz w:val="20"/>
          <w:szCs w:val="20"/>
        </w:rPr>
        <w:t>Se não obtiver êxito nas negociações, o órgão ou en</w:t>
      </w:r>
      <w:r>
        <w:rPr>
          <w:rFonts w:eastAsia="Calibri" w:cs="Arial" w:ascii="Arial" w:hAnsi="Arial"/>
          <w:iCs/>
          <w:color w:val="000000"/>
          <w:sz w:val="20"/>
          <w:szCs w:val="20"/>
        </w:rPr>
        <w:t>tid</w:t>
      </w:r>
      <w:r>
        <w:rPr>
          <w:rFonts w:cs="Arial" w:ascii="Arial" w:hAnsi="Arial"/>
          <w:iCs/>
          <w:color w:val="000000"/>
          <w:sz w:val="20"/>
          <w:szCs w:val="20"/>
        </w:rPr>
        <w:t>ade gerenciadora procederá ao cancelamento da ata de registro de preços, adotando as medidas cabíveis para obtenção de contratação mais vantajosa.</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bookmarkStart w:id="1" w:name="reducao_preco_mercado_negociacao_frustra"/>
      <w:bookmarkEnd w:id="1"/>
      <w:r>
        <w:rPr>
          <w:rFonts w:cs="Arial" w:ascii="Arial" w:hAnsi="Arial"/>
          <w:iCs/>
          <w:color w:val="000000"/>
          <w:sz w:val="20"/>
          <w:szCs w:val="20"/>
        </w:rPr>
        <w:t>Na h</w:t>
      </w:r>
      <w:r>
        <w:rPr>
          <w:rFonts w:cs="Calibri" w:ascii="Arial" w:hAnsi="Arial"/>
          <w:iCs/>
          <w:color w:val="000000"/>
          <w:sz w:val="20"/>
          <w:szCs w:val="20"/>
        </w:rPr>
        <w:t>ipótese de</w:t>
      </w:r>
      <w:r>
        <w:rPr>
          <w:rFonts w:cs="Arial" w:ascii="Arial" w:hAnsi="Arial"/>
          <w:iCs/>
          <w:color w:val="000000"/>
          <w:sz w:val="20"/>
          <w:szCs w:val="20"/>
        </w:rPr>
        <w:t xml:space="preserve"> redução do preço registrado, o gerenciador comunicará aos órgãos e às en</w:t>
      </w:r>
      <w:r>
        <w:rPr>
          <w:rFonts w:eastAsia="Calibri" w:cs="Arial" w:ascii="Arial" w:hAnsi="Arial"/>
          <w:iCs/>
          <w:color w:val="000000"/>
          <w:sz w:val="20"/>
          <w:szCs w:val="20"/>
        </w:rPr>
        <w:t>ti</w:t>
      </w:r>
      <w:r>
        <w:rPr>
          <w:rFonts w:cs="Arial" w:ascii="Arial" w:hAnsi="Arial"/>
          <w:iCs/>
          <w:color w:val="000000"/>
          <w:sz w:val="20"/>
          <w:szCs w:val="20"/>
        </w:rPr>
        <w:t xml:space="preserve">dades que </w:t>
      </w:r>
      <w:r>
        <w:rPr>
          <w:rFonts w:eastAsia="Calibri" w:cs="Arial" w:ascii="Arial" w:hAnsi="Arial"/>
          <w:iCs/>
          <w:color w:val="000000"/>
          <w:sz w:val="20"/>
          <w:szCs w:val="20"/>
        </w:rPr>
        <w:t>ti</w:t>
      </w:r>
      <w:r>
        <w:rPr>
          <w:rFonts w:cs="Arial" w:ascii="Arial" w:hAnsi="Arial"/>
          <w:iCs/>
          <w:color w:val="000000"/>
          <w:sz w:val="20"/>
          <w:szCs w:val="20"/>
        </w:rPr>
        <w:t>verem firmado contratos decorrentes da ata de registro de preços para que avaliem a conveniência e a oportunidade de diligenciarem negociação com vistas à alteração contratual, observado o disposto no art. 124 da Lei nº 14.133, de 2021.</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iCs/>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ascii="Arial" w:hAnsi="Arial"/>
          <w:sz w:val="20"/>
          <w:szCs w:val="20"/>
        </w:rPr>
        <w:t>Nesse caso, o fornecedor encaminhará, juntamente com o pedido de alteração, a documentação comprobatória ou a planilha de custos que demonstre a inviabilidade do preço registrado em relação às condições inicialmente pactuadas.</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bookmarkStart w:id="2" w:name="prova_preco_mercado_maior"/>
      <w:bookmarkEnd w:id="2"/>
      <w:r>
        <w:rPr>
          <w:rFonts w:ascii="Arial" w:hAnsi="Arial"/>
          <w:sz w:val="20"/>
          <w:szCs w:val="20"/>
        </w:rPr>
        <w:t>Não hipótese de não comprovação da existência de fato superveniente que inviabilize o preço registrado, o pedido será indeferido pelo órgão ou en</w:t>
      </w:r>
      <w:r>
        <w:rPr>
          <w:rFonts w:eastAsia="Calibri" w:ascii="Arial" w:hAnsi="Arial"/>
          <w:sz w:val="20"/>
          <w:szCs w:val="20"/>
        </w:rPr>
        <w:t>ti</w:t>
      </w:r>
      <w:r>
        <w:rPr>
          <w:rFonts w:ascii="Arial" w:hAnsi="Arial"/>
          <w:sz w:val="20"/>
          <w:szCs w:val="20"/>
        </w:rPr>
        <w:t>dade gerenciadora e o fornecedor deverá cumprir as obrigações estabelecidas na ata, sob pena de cancelamento do seu registro, nos termos do item 7.1, sem prejuízo das sanções previstas na Lei nº 14.133, de 2021, e na legislação aplicável.</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ascii="Arial" w:hAnsi="Arial"/>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ascii="Arial" w:hAnsi="Arial"/>
          <w:sz w:val="20"/>
          <w:szCs w:val="20"/>
        </w:rPr>
        <w:t xml:space="preserve">Se não obtiver êxito nas negociações, o órgão ou entidade gerenciadora procederá ao cancelamento da ata de registro de preços, nos termos do item </w:t>
      </w:r>
      <w:r>
        <w:rPr>
          <w:rFonts w:ascii="Arial" w:hAnsi="Arial"/>
          <w:sz w:val="20"/>
          <w:szCs w:val="20"/>
        </w:rPr>
        <w:fldChar w:fldCharType="begin"/>
      </w:r>
      <w:r>
        <w:rPr>
          <w:sz w:val="20"/>
          <w:szCs w:val="20"/>
          <w:rFonts w:ascii="Arial" w:hAnsi="Arial"/>
        </w:rPr>
        <w:instrText xml:space="preserve"> REF cancelamento_da_ata \r \h </w:instrText>
      </w:r>
      <w:r>
        <w:rPr>
          <w:sz w:val="20"/>
          <w:szCs w:val="20"/>
          <w:rFonts w:ascii="Arial" w:hAnsi="Arial"/>
        </w:rPr>
        <w:fldChar w:fldCharType="separate"/>
      </w:r>
      <w:r>
        <w:rPr>
          <w:sz w:val="20"/>
          <w:szCs w:val="20"/>
          <w:rFonts w:ascii="Arial" w:hAnsi="Arial"/>
        </w:rPr>
        <w:t>7.4.</w:t>
      </w:r>
      <w:r>
        <w:rPr>
          <w:sz w:val="20"/>
          <w:szCs w:val="20"/>
          <w:rFonts w:ascii="Arial" w:hAnsi="Arial"/>
        </w:rPr>
        <w:fldChar w:fldCharType="end"/>
      </w:r>
      <w:r>
        <w:rPr>
          <w:rFonts w:ascii="Arial" w:hAnsi="Arial"/>
          <w:sz w:val="20"/>
          <w:szCs w:val="20"/>
        </w:rPr>
        <w:t>, e adotará as medidas cabíveis para a obtenção da contratação mais vantajosa.</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ascii="Arial" w:hAnsi="Arial"/>
          <w:sz w:val="20"/>
          <w:szCs w:val="20"/>
        </w:rPr>
        <w:t>Na hipótese de comprovação da majoração do preço de mercado que inviabilize o preço registrado, conforme previsto no item 6.2. e no item 6.2.1, o órgão ou en</w:t>
      </w:r>
      <w:r>
        <w:rPr>
          <w:rFonts w:eastAsia="Calibri" w:ascii="Arial" w:hAnsi="Arial"/>
          <w:sz w:val="20"/>
          <w:szCs w:val="20"/>
        </w:rPr>
        <w:t>ti</w:t>
      </w:r>
      <w:r>
        <w:rPr>
          <w:rFonts w:ascii="Arial" w:hAnsi="Arial"/>
          <w:sz w:val="20"/>
          <w:szCs w:val="20"/>
        </w:rPr>
        <w:t>dade gerenciadora atualizará o preço registrado, de acordo com a realidade dos valores praticados pelo mercado.</w:t>
      </w:r>
    </w:p>
    <w:p>
      <w:pPr>
        <w:pStyle w:val="Normal"/>
        <w:widowControl/>
        <w:numPr>
          <w:ilvl w:val="2"/>
          <w:numId w:val="1"/>
        </w:numPr>
        <w:suppressAutoHyphens w:val="true"/>
        <w:bidi w:val="0"/>
        <w:spacing w:lineRule="auto" w:line="276" w:before="120" w:after="120"/>
        <w:ind w:left="794" w:right="0" w:hanging="0"/>
        <w:jc w:val="both"/>
        <w:rPr>
          <w:rFonts w:ascii="Arial" w:hAnsi="Arial"/>
          <w:sz w:val="20"/>
          <w:szCs w:val="20"/>
        </w:rPr>
      </w:pPr>
      <w:r>
        <w:rPr>
          <w:rFonts w:ascii="Arial" w:hAnsi="Arial"/>
          <w:sz w:val="20"/>
          <w:szCs w:val="20"/>
        </w:rPr>
        <w:t>O órgão ou en</w:t>
      </w:r>
      <w:r>
        <w:rPr>
          <w:rFonts w:eastAsia="Calibri" w:ascii="Arial" w:hAnsi="Arial"/>
          <w:sz w:val="20"/>
          <w:szCs w:val="20"/>
        </w:rPr>
        <w:t>ti</w:t>
      </w:r>
      <w:r>
        <w:rPr>
          <w:rFonts w:ascii="Arial" w:hAnsi="Arial"/>
          <w:sz w:val="20"/>
          <w:szCs w:val="20"/>
        </w:rPr>
        <w:t>dade gerenciadora comunicará aos órgãos e às en</w:t>
      </w:r>
      <w:r>
        <w:rPr>
          <w:rFonts w:eastAsia="Calibri" w:ascii="Arial" w:hAnsi="Arial"/>
          <w:sz w:val="20"/>
          <w:szCs w:val="20"/>
        </w:rPr>
        <w:t>ti</w:t>
      </w:r>
      <w:r>
        <w:rPr>
          <w:rFonts w:ascii="Arial" w:hAnsi="Arial"/>
          <w:sz w:val="20"/>
          <w:szCs w:val="20"/>
        </w:rPr>
        <w:t xml:space="preserve">dades que </w:t>
      </w:r>
      <w:r>
        <w:rPr>
          <w:rFonts w:eastAsia="Calibri" w:ascii="Arial" w:hAnsi="Arial"/>
          <w:sz w:val="20"/>
          <w:szCs w:val="20"/>
        </w:rPr>
        <w:t>ti</w:t>
      </w:r>
      <w:r>
        <w:rPr>
          <w:rFonts w:ascii="Arial" w:hAnsi="Arial"/>
          <w:sz w:val="20"/>
          <w:szCs w:val="20"/>
        </w:rPr>
        <w:t>verem firmado contratos decorrentes da ata de registro de preços sobre a efe</w:t>
      </w:r>
      <w:r>
        <w:rPr>
          <w:rFonts w:eastAsia="Calibri" w:ascii="Arial" w:hAnsi="Arial"/>
          <w:sz w:val="20"/>
          <w:szCs w:val="20"/>
        </w:rPr>
        <w:t>ti</w:t>
      </w:r>
      <w:r>
        <w:rPr>
          <w:rFonts w:ascii="Arial" w:hAnsi="Arial"/>
          <w:sz w:val="20"/>
          <w:szCs w:val="20"/>
        </w:rPr>
        <w:t>va alteração do preço registrado, para que avaliem a necessidade de alteração contratual, observado o disposto no art. 124 da Lei nº 14.133, de 2021.</w:t>
      </w:r>
    </w:p>
    <w:p>
      <w:pPr>
        <w:pStyle w:val="Nivel01"/>
        <w:widowControl w:val="false"/>
        <w:numPr>
          <w:ilvl w:val="0"/>
          <w:numId w:val="1"/>
        </w:numPr>
        <w:spacing w:before="227" w:after="0"/>
        <w:ind w:left="0" w:hanging="0"/>
        <w:jc w:val="both"/>
        <w:rPr>
          <w:rFonts w:ascii="Arial" w:hAnsi="Arial"/>
          <w:sz w:val="20"/>
          <w:szCs w:val="20"/>
        </w:rPr>
      </w:pPr>
      <w:r>
        <w:rPr>
          <w:rFonts w:cs="Arial" w:ascii="Arial" w:hAnsi="Arial"/>
          <w:b/>
          <w:bCs/>
          <w:iCs/>
          <w:sz w:val="20"/>
          <w:szCs w:val="20"/>
        </w:rPr>
        <w:t>CANCELAMENTO DO REGISTRO DO LICITANTE VENCEDOR E DOS PREÇOS REGISTRADOS</w:t>
      </w:r>
    </w:p>
    <w:p>
      <w:pPr>
        <w:pStyle w:val="Normal"/>
        <w:widowControl w:val="false"/>
        <w:numPr>
          <w:ilvl w:val="1"/>
          <w:numId w:val="1"/>
        </w:numPr>
        <w:suppressAutoHyphens w:val="true"/>
        <w:bidi w:val="0"/>
        <w:spacing w:before="227" w:after="0"/>
        <w:ind w:left="454" w:right="0" w:hanging="0"/>
        <w:jc w:val="both"/>
        <w:rPr>
          <w:rFonts w:ascii="Arial" w:hAnsi="Arial"/>
          <w:sz w:val="20"/>
          <w:szCs w:val="20"/>
        </w:rPr>
      </w:pPr>
      <w:r>
        <w:rPr>
          <w:rFonts w:ascii="Arial" w:hAnsi="Arial"/>
          <w:sz w:val="20"/>
          <w:szCs w:val="20"/>
        </w:rPr>
        <w:t>O registro do fornecedor será cancelado pelo gerenciador, quando o fornecedor:</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Descumprir as condições da ata de registro de preços, sem motivo justificado;</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Não  re</w:t>
      </w:r>
      <w:r>
        <w:rPr>
          <w:rFonts w:eastAsia="Arial" w:ascii="Arial" w:hAnsi="Arial"/>
          <w:sz w:val="20"/>
          <w:szCs w:val="20"/>
        </w:rPr>
        <w:t>ti</w:t>
      </w:r>
      <w:r>
        <w:rPr>
          <w:rFonts w:ascii="Arial" w:hAnsi="Arial"/>
          <w:sz w:val="20"/>
          <w:szCs w:val="20"/>
        </w:rPr>
        <w:t>rar a nota de empenho, ou instrumento equivalente, no prazo estabelecido pela Administração sem justificativa razoável;</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Não aceitar manter seu preço registrado, na hipótese prevista no artigo 27, § 2º, do Decreto nº 11.462, de 2023; ou</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Sofrer sanção prevista nos incisos III ou IV do caput do art. 156 da Lei nº 14.133, de 2021.</w:t>
      </w:r>
    </w:p>
    <w:p>
      <w:pPr>
        <w:pStyle w:val="Normal"/>
        <w:widowControl w:val="false"/>
        <w:numPr>
          <w:ilvl w:val="4"/>
          <w:numId w:val="1"/>
        </w:numPr>
        <w:suppressAutoHyphens w:val="true"/>
        <w:bidi w:val="0"/>
        <w:spacing w:before="227" w:after="0"/>
        <w:ind w:left="1417" w:right="0" w:hanging="0"/>
        <w:jc w:val="both"/>
        <w:rPr>
          <w:rFonts w:ascii="Arial" w:hAnsi="Arial"/>
          <w:sz w:val="20"/>
          <w:szCs w:val="20"/>
        </w:rPr>
      </w:pPr>
      <w:r>
        <w:rPr>
          <w:rFonts w:ascii="Arial" w:hAnsi="Arial"/>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ormal"/>
        <w:widowControl w:val="false"/>
        <w:numPr>
          <w:ilvl w:val="1"/>
          <w:numId w:val="1"/>
        </w:numPr>
        <w:suppressAutoHyphens w:val="true"/>
        <w:bidi w:val="0"/>
        <w:spacing w:before="227" w:after="0"/>
        <w:ind w:left="454" w:right="0" w:hanging="0"/>
        <w:jc w:val="both"/>
        <w:rPr>
          <w:rFonts w:ascii="Arial" w:hAnsi="Arial"/>
          <w:sz w:val="20"/>
          <w:szCs w:val="20"/>
        </w:rPr>
      </w:pPr>
      <w:bookmarkStart w:id="3" w:name="cancelamento_do_fornecedor"/>
      <w:bookmarkEnd w:id="3"/>
      <w:r>
        <w:rPr>
          <w:rFonts w:ascii="Arial" w:hAnsi="Arial"/>
          <w:sz w:val="20"/>
          <w:szCs w:val="20"/>
        </w:rPr>
        <w:t>O cancelamento de registros nas hipóteses previstas no item 7.1 será formalizado por despacho do órgão ou da entidade gerenciadora, garantidos os princípios do contraditório e da ampla defesa.</w:t>
      </w:r>
    </w:p>
    <w:p>
      <w:pPr>
        <w:pStyle w:val="Normal"/>
        <w:widowControl w:val="false"/>
        <w:numPr>
          <w:ilvl w:val="1"/>
          <w:numId w:val="1"/>
        </w:numPr>
        <w:suppressAutoHyphens w:val="true"/>
        <w:bidi w:val="0"/>
        <w:spacing w:before="227" w:after="0"/>
        <w:ind w:left="454" w:right="0" w:hanging="0"/>
        <w:jc w:val="both"/>
        <w:rPr>
          <w:rFonts w:ascii="Arial" w:hAnsi="Arial"/>
          <w:sz w:val="20"/>
          <w:szCs w:val="20"/>
        </w:rPr>
      </w:pPr>
      <w:r>
        <w:rPr>
          <w:rFonts w:ascii="Arial" w:hAnsi="Arial"/>
          <w:sz w:val="20"/>
          <w:szCs w:val="20"/>
        </w:rPr>
        <w:t>Na hipótese de cancelamento do registro do fornecedor, o órgão ou a entidade gerenciadora poderá convocar os licitantes que compõem o cadastro de reserva, observada a ordem de classificação.</w:t>
      </w:r>
    </w:p>
    <w:p>
      <w:pPr>
        <w:pStyle w:val="Normal"/>
        <w:widowControl w:val="false"/>
        <w:numPr>
          <w:ilvl w:val="1"/>
          <w:numId w:val="1"/>
        </w:numPr>
        <w:suppressAutoHyphens w:val="true"/>
        <w:bidi w:val="0"/>
        <w:spacing w:before="227" w:after="0"/>
        <w:ind w:left="454" w:right="0" w:hanging="0"/>
        <w:jc w:val="both"/>
        <w:rPr>
          <w:rFonts w:ascii="Arial" w:hAnsi="Arial"/>
          <w:sz w:val="20"/>
          <w:szCs w:val="20"/>
        </w:rPr>
      </w:pPr>
      <w:r>
        <w:rPr>
          <w:rFonts w:ascii="Arial" w:hAnsi="Arial"/>
          <w:sz w:val="20"/>
          <w:szCs w:val="20"/>
        </w:rPr>
        <w:t>O cancelamento dos preços registrados poderá ser realizado pelo gerenciador, em determinada ata de registro de preços, total ou parcialmente, nas seguintes hipóteses, desde que devidamente comprovadas e justificadas:</w:t>
      </w:r>
      <w:bookmarkStart w:id="4" w:name="cancelamento_da_ata"/>
      <w:bookmarkEnd w:id="4"/>
      <w:r>
        <w:rPr>
          <w:rFonts w:ascii="Arial" w:hAnsi="Arial"/>
          <w:sz w:val="20"/>
          <w:szCs w:val="20"/>
        </w:rPr>
        <w:t xml:space="preserve"> </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Por  razão de interesse público;</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A pedido do fornecedor, decorrente de caso fortuito ou força maior; ou</w:t>
      </w:r>
    </w:p>
    <w:p>
      <w:pPr>
        <w:pStyle w:val="Normal"/>
        <w:widowControl w:val="false"/>
        <w:numPr>
          <w:ilvl w:val="2"/>
          <w:numId w:val="1"/>
        </w:numPr>
        <w:suppressAutoHyphens w:val="true"/>
        <w:bidi w:val="0"/>
        <w:spacing w:before="227" w:after="0"/>
        <w:ind w:left="794" w:right="0" w:hanging="0"/>
        <w:jc w:val="both"/>
        <w:rPr>
          <w:rFonts w:ascii="Arial" w:hAnsi="Arial"/>
          <w:sz w:val="20"/>
          <w:szCs w:val="20"/>
        </w:rPr>
      </w:pPr>
      <w:r>
        <w:rPr>
          <w:rFonts w:ascii="Arial" w:hAnsi="Arial"/>
          <w:sz w:val="20"/>
          <w:szCs w:val="20"/>
        </w:rPr>
        <w:t xml:space="preserve">Se não houver êxito nas negociações, nas hipóteses em que o preço de mercado tornar-se superior ou inferior ao preço registrado, nos termos do artigos 26, § 3º e  27, § 4º, ambos do Decreto nº 11.462, de 2023. </w:t>
      </w:r>
    </w:p>
    <w:p>
      <w:pPr>
        <w:pStyle w:val="Normal"/>
        <w:widowControl w:val="false"/>
        <w:numPr>
          <w:ilvl w:val="0"/>
          <w:numId w:val="1"/>
        </w:numPr>
        <w:spacing w:before="227" w:after="0"/>
        <w:jc w:val="both"/>
        <w:rPr>
          <w:rFonts w:ascii="Arial" w:hAnsi="Arial"/>
          <w:sz w:val="20"/>
          <w:szCs w:val="20"/>
        </w:rPr>
      </w:pPr>
      <w:r>
        <w:rPr>
          <w:rFonts w:cs="Arial" w:ascii="Arial" w:hAnsi="Arial"/>
          <w:b/>
          <w:bCs/>
          <w:iCs/>
          <w:sz w:val="20"/>
          <w:szCs w:val="20"/>
        </w:rPr>
        <w:t>DAS PENALIDADES</w:t>
      </w:r>
    </w:p>
    <w:p>
      <w:pPr>
        <w:pStyle w:val="Normal"/>
        <w:widowControl w:val="false"/>
        <w:numPr>
          <w:ilvl w:val="1"/>
          <w:numId w:val="1"/>
        </w:numPr>
        <w:suppressAutoHyphens w:val="true"/>
        <w:bidi w:val="0"/>
        <w:spacing w:before="227" w:after="0"/>
        <w:ind w:left="454" w:right="0" w:hanging="0"/>
        <w:jc w:val="both"/>
        <w:rPr>
          <w:rFonts w:ascii="Arial" w:hAnsi="Arial"/>
          <w:b w:val="false"/>
          <w:b w:val="false"/>
          <w:bCs w:val="false"/>
          <w:i w:val="false"/>
          <w:i w:val="false"/>
          <w:iCs w:val="false"/>
          <w:color w:val="auto"/>
          <w:sz w:val="20"/>
          <w:szCs w:val="20"/>
        </w:rPr>
      </w:pPr>
      <w:r>
        <w:rPr>
          <w:rFonts w:cs="Arial" w:ascii="Arial" w:hAnsi="Arial"/>
          <w:b w:val="false"/>
          <w:bCs w:val="false"/>
          <w:i w:val="false"/>
          <w:iCs w:val="false"/>
          <w:color w:val="auto"/>
          <w:sz w:val="20"/>
          <w:szCs w:val="20"/>
        </w:rPr>
        <w:t>O descumprimento da Ata de Registro de Preços ensejará aplicação das penalidades estabelecidas no edital.</w:t>
      </w:r>
    </w:p>
    <w:p>
      <w:pPr>
        <w:pStyle w:val="Normal"/>
        <w:widowControl w:val="false"/>
        <w:numPr>
          <w:ilvl w:val="2"/>
          <w:numId w:val="1"/>
        </w:numPr>
        <w:suppressAutoHyphens w:val="true"/>
        <w:bidi w:val="0"/>
        <w:spacing w:before="227" w:after="0"/>
        <w:ind w:left="794" w:right="0" w:hanging="0"/>
        <w:jc w:val="both"/>
        <w:rPr>
          <w:rFonts w:ascii="Arial" w:hAnsi="Arial"/>
          <w:b w:val="false"/>
          <w:b w:val="false"/>
          <w:bCs w:val="false"/>
          <w:i w:val="false"/>
          <w:i w:val="false"/>
          <w:iCs w:val="false"/>
          <w:color w:val="auto"/>
          <w:sz w:val="20"/>
          <w:szCs w:val="20"/>
        </w:rPr>
      </w:pPr>
      <w:r>
        <w:rPr>
          <w:rFonts w:cs="Arial" w:ascii="Arial" w:hAnsi="Arial"/>
          <w:b w:val="false"/>
          <w:bCs w:val="false"/>
          <w:i w:val="false"/>
          <w:iCs w:val="false"/>
          <w:color w:val="auto"/>
          <w:sz w:val="20"/>
          <w:szCs w:val="20"/>
        </w:rPr>
        <w:t xml:space="preserve">As sanções também se aplicam aos integrantes do cadastro de reserva no registro de preços que, convocados, não honrarem o compromisso assumido injustificadamente após terem assinado a ata. </w:t>
      </w:r>
    </w:p>
    <w:p>
      <w:pPr>
        <w:pStyle w:val="Normal"/>
        <w:widowControl w:val="false"/>
        <w:numPr>
          <w:ilvl w:val="1"/>
          <w:numId w:val="1"/>
        </w:numPr>
        <w:suppressAutoHyphens w:val="true"/>
        <w:bidi w:val="0"/>
        <w:spacing w:before="227" w:after="0"/>
        <w:ind w:left="454" w:right="0" w:hanging="0"/>
        <w:jc w:val="both"/>
        <w:rPr>
          <w:rFonts w:ascii="Arial" w:hAnsi="Arial"/>
          <w:b w:val="false"/>
          <w:b w:val="false"/>
          <w:bCs w:val="false"/>
          <w:i w:val="false"/>
          <w:i w:val="false"/>
          <w:iCs w:val="false"/>
          <w:color w:val="auto"/>
          <w:sz w:val="20"/>
          <w:szCs w:val="20"/>
        </w:rPr>
      </w:pPr>
      <w:r>
        <w:rPr>
          <w:rFonts w:cs="Arial" w:ascii="Arial" w:hAnsi="Arial"/>
          <w:b w:val="false"/>
          <w:bCs w:val="false"/>
          <w:i w:val="false"/>
          <w:iCs w:val="false"/>
          <w:color w:val="auto"/>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widowControl w:val="false"/>
        <w:numPr>
          <w:ilvl w:val="1"/>
          <w:numId w:val="1"/>
        </w:numPr>
        <w:suppressAutoHyphens w:val="true"/>
        <w:bidi w:val="0"/>
        <w:spacing w:before="227" w:after="0"/>
        <w:ind w:left="454" w:right="0" w:hanging="0"/>
        <w:jc w:val="both"/>
        <w:rPr>
          <w:rFonts w:ascii="Arial" w:hAnsi="Arial"/>
          <w:b w:val="false"/>
          <w:b w:val="false"/>
          <w:bCs w:val="false"/>
          <w:i w:val="false"/>
          <w:i w:val="false"/>
          <w:iCs w:val="false"/>
          <w:color w:val="auto"/>
          <w:sz w:val="20"/>
          <w:szCs w:val="20"/>
        </w:rPr>
      </w:pPr>
      <w:r>
        <w:rPr>
          <w:rFonts w:cs="Arial" w:ascii="Arial" w:hAnsi="Arial"/>
          <w:b w:val="false"/>
          <w:bCs w:val="false"/>
          <w:i w:val="false"/>
          <w:iCs w:val="false"/>
          <w:color w:val="auto"/>
          <w:sz w:val="20"/>
          <w:szCs w:val="20"/>
        </w:rPr>
        <w:t>O órgão ou entidade participante deverá comunicar ao órgão gerenciador qualquer das ocorrências previstas no item 9.1, dada a necessidade de instauração de procedimento para cancelamento do registro do fornecedor.</w:t>
      </w:r>
    </w:p>
    <w:p>
      <w:pPr>
        <w:pStyle w:val="Normal"/>
        <w:widowControl w:val="false"/>
        <w:numPr>
          <w:ilvl w:val="0"/>
          <w:numId w:val="1"/>
        </w:numPr>
        <w:spacing w:before="227" w:after="0"/>
        <w:jc w:val="both"/>
        <w:rPr>
          <w:rFonts w:ascii="Arial" w:hAnsi="Arial"/>
          <w:sz w:val="20"/>
          <w:szCs w:val="20"/>
        </w:rPr>
      </w:pPr>
      <w:r>
        <w:rPr>
          <w:rFonts w:cs="Arial" w:ascii="Arial" w:hAnsi="Arial"/>
          <w:b/>
          <w:bCs/>
          <w:iCs/>
          <w:sz w:val="20"/>
          <w:szCs w:val="20"/>
        </w:rPr>
        <w:t>CONDIÇÕES GERAIS</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widowControl w:val="false"/>
        <w:ind w:right="-15" w:hanging="0"/>
        <w:jc w:val="both"/>
        <w:rPr>
          <w:rFonts w:ascii="Arial" w:hAnsi="Arial" w:cs="Arial"/>
          <w:sz w:val="20"/>
          <w:szCs w:val="20"/>
        </w:rPr>
      </w:pPr>
      <w:r>
        <w:rPr>
          <w:rFonts w:cs="Arial" w:ascii="Arial" w:hAnsi="Arial"/>
          <w:sz w:val="20"/>
          <w:szCs w:val="20"/>
        </w:rPr>
      </w:r>
    </w:p>
    <w:p>
      <w:pPr>
        <w:pStyle w:val="Normal"/>
        <w:widowControl w:val="false"/>
        <w:ind w:right="-15" w:hanging="0"/>
        <w:jc w:val="both"/>
        <w:rPr>
          <w:rFonts w:ascii="Arial" w:hAnsi="Arial" w:cs="Arial"/>
          <w:i/>
          <w:i/>
          <w:iCs/>
          <w:sz w:val="20"/>
          <w:szCs w:val="20"/>
        </w:rPr>
      </w:pPr>
      <w:r>
        <w:rPr>
          <w:rFonts w:cs="Arial" w:ascii="Arial" w:hAnsi="Arial"/>
          <w:sz w:val="20"/>
          <w:szCs w:val="20"/>
        </w:rPr>
        <w:t xml:space="preserve">Para firmeza e validade do pactuado, a presente Ata foi lavrada em 2 (duas) vias de igual teor, que, depois de lida e achada em ordem, vai assinada pelas partes </w:t>
      </w:r>
      <w:r>
        <w:rPr>
          <w:rFonts w:cs="Arial" w:ascii="Arial" w:hAnsi="Arial"/>
          <w:i/>
          <w:iCs/>
          <w:sz w:val="20"/>
          <w:szCs w:val="20"/>
        </w:rPr>
        <w:t xml:space="preserve">e encaminhada cópia aos demais órgãos participantes (se houver). </w:t>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sz w:val="20"/>
          <w:szCs w:val="20"/>
        </w:rPr>
      </w:pPr>
      <w:r>
        <w:rPr>
          <w:rFonts w:cs="Arial" w:ascii="Arial" w:hAnsi="Arial"/>
          <w:sz w:val="20"/>
          <w:szCs w:val="20"/>
        </w:rPr>
        <w:t>Local e data</w:t>
      </w:r>
    </w:p>
    <w:p>
      <w:pPr>
        <w:pStyle w:val="Padro"/>
        <w:jc w:val="center"/>
        <w:rPr>
          <w:b/>
          <w:b/>
          <w:bCs/>
          <w:lang w:val="es-ES"/>
        </w:rPr>
      </w:pPr>
      <w:r>
        <w:rPr>
          <w:b/>
          <w:bCs/>
          <w:lang w:val="es-ES"/>
        </w:rPr>
      </w:r>
    </w:p>
    <w:p>
      <w:pPr>
        <w:pStyle w:val="Padro"/>
        <w:jc w:val="center"/>
        <w:rPr>
          <w:b/>
          <w:b/>
          <w:bCs/>
          <w:lang w:val="es-ES"/>
        </w:rPr>
      </w:pPr>
      <w:r>
        <w:rPr>
          <w:b/>
          <w:bCs/>
          <w:lang w:val="es-ES"/>
        </w:rPr>
      </w:r>
      <w:bookmarkStart w:id="5" w:name="_GoBack"/>
      <w:bookmarkStart w:id="6" w:name="_GoBack"/>
      <w:bookmarkEnd w:id="6"/>
    </w:p>
    <w:p>
      <w:pPr>
        <w:pStyle w:val="Padro"/>
        <w:spacing w:before="0" w:after="0"/>
        <w:jc w:val="center"/>
        <w:rPr>
          <w:sz w:val="20"/>
          <w:szCs w:val="20"/>
        </w:rPr>
      </w:pPr>
      <w:r>
        <w:rPr>
          <w:bCs/>
          <w:sz w:val="20"/>
          <w:szCs w:val="20"/>
          <w:lang w:val="es-ES"/>
        </w:rPr>
        <w:t>RAFAEL AUGUSTO DE BRITO – Cel</w:t>
      </w:r>
    </w:p>
    <w:p>
      <w:pPr>
        <w:pStyle w:val="Padro"/>
        <w:spacing w:before="0" w:after="0"/>
        <w:jc w:val="center"/>
        <w:rPr>
          <w:sz w:val="20"/>
          <w:szCs w:val="20"/>
        </w:rPr>
      </w:pPr>
      <w:r>
        <w:rPr>
          <w:bCs/>
          <w:sz w:val="20"/>
          <w:szCs w:val="20"/>
          <w:lang w:val="es-ES"/>
        </w:rPr>
        <w:t xml:space="preserve">  </w:t>
      </w:r>
      <w:r>
        <w:rPr>
          <w:bCs/>
          <w:sz w:val="20"/>
          <w:szCs w:val="20"/>
          <w:lang w:val="es-ES"/>
        </w:rPr>
        <w:t>Ordenador de Despesas do 54º BIS</w:t>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Times New Roman" w:hAnsi="Times New Roman" w:cs="Times New Roman"/>
        <w:sz w:val="20"/>
        <w:szCs w:val="20"/>
      </w:rPr>
    </w:pPr>
    <w:r>
      <w:rPr>
        <w:rFonts w:cs="Times New Roman" w:ascii="Times New Roman" w:hAnsi="Times New Roman"/>
        <w:sz w:val="20"/>
        <w:szCs w:val="20"/>
      </w:rPr>
      <w:t>Fl __________________</w:t>
    </w:r>
  </w:p>
  <w:p>
    <w:pPr>
      <w:pStyle w:val="Cabealho"/>
      <w:jc w:val="right"/>
      <w:rPr>
        <w:rFonts w:ascii="Times New Roman" w:hAnsi="Times New Roman" w:cs="Times New Roman"/>
        <w:sz w:val="20"/>
        <w:szCs w:val="20"/>
      </w:rPr>
    </w:pPr>
    <w:r>
      <w:rPr>
        <w:rFonts w:cs="Times New Roman" w:ascii="Times New Roman" w:hAnsi="Times New Roman"/>
        <w:sz w:val="20"/>
        <w:szCs w:val="20"/>
      </w:rPr>
    </w:r>
  </w:p>
  <w:p>
    <w:pPr>
      <w:pStyle w:val="Cabealho"/>
      <w:jc w:val="right"/>
      <w:rPr>
        <w:rFonts w:ascii="Times New Roman" w:hAnsi="Times New Roman" w:cs="Times New Roman"/>
        <w:sz w:val="20"/>
        <w:szCs w:val="20"/>
        <w:lang w:eastAsia="zh-CN"/>
      </w:rPr>
    </w:pPr>
    <w:r>
      <w:rPr>
        <w:rFonts w:cs="Times New Roman" w:ascii="Times New Roman" w:hAnsi="Times New Roman"/>
        <w:sz w:val="20"/>
        <w:szCs w:val="20"/>
      </w:rPr>
      <w:t>____________________</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Times New Roman" w:hAnsi="Times New Roman" w:cs="Times New Roman"/>
        <w:sz w:val="20"/>
        <w:szCs w:val="20"/>
      </w:rPr>
    </w:pPr>
    <w:r>
      <w:rPr>
        <w:rFonts w:cs="Times New Roman" w:ascii="Times New Roman" w:hAnsi="Times New Roman"/>
        <w:sz w:val="20"/>
        <w:szCs w:val="20"/>
      </w:rPr>
      <w:t>Fl __________________</w:t>
    </w:r>
  </w:p>
  <w:p>
    <w:pPr>
      <w:pStyle w:val="Cabealho"/>
      <w:jc w:val="right"/>
      <w:rPr>
        <w:rFonts w:ascii="Times New Roman" w:hAnsi="Times New Roman" w:cs="Times New Roman"/>
        <w:sz w:val="20"/>
        <w:szCs w:val="20"/>
      </w:rPr>
    </w:pPr>
    <w:r>
      <w:rPr>
        <w:rFonts w:cs="Times New Roman" w:ascii="Times New Roman" w:hAnsi="Times New Roman"/>
        <w:sz w:val="20"/>
        <w:szCs w:val="20"/>
      </w:rPr>
    </w:r>
  </w:p>
  <w:p>
    <w:pPr>
      <w:pStyle w:val="Cabealho"/>
      <w:jc w:val="right"/>
      <w:rPr>
        <w:rFonts w:ascii="Times New Roman" w:hAnsi="Times New Roman" w:cs="Times New Roman"/>
        <w:sz w:val="20"/>
        <w:szCs w:val="20"/>
        <w:lang w:eastAsia="zh-CN"/>
      </w:rPr>
    </w:pPr>
    <w:r>
      <w:rPr>
        <w:rFonts w:cs="Times New Roman" w:ascii="Times New Roman" w:hAnsi="Times New Roman"/>
        <w:sz w:val="20"/>
        <w:szCs w:val="20"/>
      </w:rPr>
      <w:t>____________________</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dstrike w:val="false"/>
        <w:strike w:val="false"/>
        <w:sz w:val="20"/>
        <w:szCs w:val="20"/>
        <w:color w:val="auto"/>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effect w:val="non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u w:val="none"/>
        <w:b w:val="false"/>
        <w:effect w:val="non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Fontepargpadro4" w:customStyle="1">
    <w:name w:val="Fonte parág. padrão4"/>
    <w:qFormat/>
    <w:rsid w:val="00a55496"/>
    <w:rPr/>
  </w:style>
  <w:style w:type="character" w:styleId="TextodebaloChar" w:customStyle="1">
    <w:name w:val="Texto de balão Char"/>
    <w:basedOn w:val="DefaultParagraphFont"/>
    <w:link w:val="BalloonText"/>
    <w:semiHidden/>
    <w:qFormat/>
    <w:rsid w:val="0039018d"/>
    <w:rPr>
      <w:rFonts w:ascii="Segoe UI" w:hAnsi="Segoe UI" w:cs="Segoe UI"/>
      <w:sz w:val="18"/>
      <w:szCs w:val="18"/>
    </w:rPr>
  </w:style>
  <w:style w:type="character" w:styleId="Fontepargpadro5" w:customStyle="1">
    <w:name w:val="Fonte parág. padrão5"/>
    <w:qFormat/>
    <w:rsid w:val="00de4776"/>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qFormat/>
    <w:rsid w:val="001f6040"/>
    <w:pPr>
      <w:numPr>
        <w:ilvl w:val="0"/>
        <w:numId w:val="2"/>
      </w:numPr>
      <w:tabs>
        <w:tab w:val="clear" w:pos="708"/>
        <w:tab w:val="left" w:pos="360" w:leader="none"/>
        <w:tab w:val="left" w:pos="567" w:leader="none"/>
      </w:tabs>
      <w:spacing w:before="240" w:after="0"/>
      <w:ind w:left="0" w:hanging="0"/>
      <w:jc w:val="both"/>
    </w:pPr>
    <w:rPr>
      <w:rFonts w:ascii="Ecofont_Spranq_eco_Sans" w:hAnsi="Ecofont_Spranq_eco_Sans" w:cs="Times New Roman"/>
      <w:color w:val="000000"/>
      <w:sz w:val="20"/>
      <w:szCs w:val="20"/>
    </w:rPr>
  </w:style>
  <w:style w:type="paragraph" w:styleId="Padro" w:customStyle="1">
    <w:name w:val="Padrão"/>
    <w:qFormat/>
    <w:rsid w:val="00f103a6"/>
    <w:pPr>
      <w:widowControl/>
      <w:suppressAutoHyphens w:val="true"/>
      <w:bidi w:val="0"/>
      <w:spacing w:lineRule="auto" w:line="259" w:before="0" w:after="160"/>
      <w:jc w:val="left"/>
    </w:pPr>
    <w:rPr>
      <w:rFonts w:ascii="Arial" w:hAnsi="Arial" w:eastAsia="Times New Roman" w:cs="Tahoma"/>
      <w:color w:val="auto"/>
      <w:kern w:val="0"/>
      <w:sz w:val="24"/>
      <w:szCs w:val="24"/>
      <w:lang w:val="pt-BR" w:eastAsia="pt-BR" w:bidi="ar-SA"/>
    </w:rPr>
  </w:style>
  <w:style w:type="paragraph" w:styleId="BalloonText">
    <w:name w:val="Balloon Text"/>
    <w:basedOn w:val="Normal"/>
    <w:link w:val="TextodebaloChar"/>
    <w:semiHidden/>
    <w:unhideWhenUsed/>
    <w:qFormat/>
    <w:rsid w:val="0039018d"/>
    <w:pPr/>
    <w:rPr>
      <w:rFonts w:ascii="Segoe UI" w:hAnsi="Segoe UI" w:cs="Segoe UI"/>
      <w:sz w:val="18"/>
      <w:szCs w:val="18"/>
    </w:rPr>
  </w:style>
  <w:style w:type="paragraph" w:styleId="LONormal">
    <w:name w:val="LO-Normal"/>
    <w:qFormat/>
    <w:pPr>
      <w:widowControl w:val="false"/>
      <w:suppressAutoHyphens w:val="true"/>
      <w:bidi w:val="0"/>
      <w:spacing w:before="0" w:after="0"/>
      <w:jc w:val="left"/>
    </w:pPr>
    <w:rPr>
      <w:rFonts w:ascii="Calibri" w:hAnsi="Calibri" w:eastAsia="Calibri" w:cs="Calibri"/>
      <w:color w:val="000000"/>
      <w:kern w:val="0"/>
      <w:sz w:val="20"/>
      <w:szCs w:val="20"/>
      <w:lang w:val="pt-BR" w:eastAsia="zh-CN" w:bidi="hi-IN"/>
    </w:rPr>
  </w:style>
  <w:style w:type="paragraph" w:styleId="LOnormal1">
    <w:name w:val="LO-normal1"/>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paragraph" w:styleId="Contedodatabela">
    <w:name w:val="Conteúdo da tabela"/>
    <w:basedOn w:val="LOnormal1"/>
    <w:qFormat/>
    <w:pPr/>
    <w:rPr>
      <w:color w:val="00000A"/>
      <w:sz w:val="24"/>
    </w:rPr>
  </w:style>
  <w:style w:type="paragraph" w:styleId="Ttulodetabela">
    <w:name w:val="Título de tabela"/>
    <w:basedOn w:val="Contedodatabela"/>
    <w:qFormat/>
    <w:pPr>
      <w:suppressLineNumbers/>
      <w:jc w:val="center"/>
    </w:pPr>
    <w:rPr>
      <w:b/>
      <w:bCs/>
    </w:rPr>
  </w:style>
  <w:style w:type="paragraph" w:styleId="SubTitNN">
    <w:name w:val="SubTitNN"/>
    <w:basedOn w:val="Normal"/>
    <w:qFormat/>
    <w:pPr>
      <w:spacing w:lineRule="auto" w:line="276" w:before="240" w:after="120"/>
      <w:jc w:val="both"/>
    </w:pPr>
    <w:rPr>
      <w:rFonts w:ascii="Arial" w:hAnsi="Arial" w:cs="Arial"/>
      <w:b/>
      <w:bCs/>
      <w:iCs/>
      <w:sz w:val="20"/>
      <w:szCs w:val="20"/>
    </w:rPr>
  </w:style>
  <w:style w:type="paragraph" w:styleId="Nvel3R">
    <w:name w:val="Nível 3-R"/>
    <w:basedOn w:val="Normal"/>
    <w:qFormat/>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name w:val="Nível 3"/>
    <w:basedOn w:val="Nvel3R"/>
    <w:qFormat/>
    <w:pPr/>
    <w:rPr>
      <w:rFonts w:eastAsia="Times New Roman"/>
      <w:i w:val="false"/>
      <w:iCs w:val="false"/>
      <w:color w:val="auto"/>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1463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2.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Application>LibreOffice/7.3.0.3$Windows_X86_64 LibreOffice_project/0f246aa12d0eee4a0f7adcefbf7c878fc2238db3</Application>
  <AppVersion>15.0000</AppVersion>
  <Pages>7</Pages>
  <Words>2991</Words>
  <Characters>16492</Characters>
  <CharactersWithSpaces>19284</CharactersWithSpaces>
  <Paragraphs>141</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2021-02-02T13:03:00Z</dcterms:created>
  <dc:creator>CONJUR-MP</dc:creator>
  <dc:description>Texto idêntico ao modelo de serviços, salvo pela especificação do objeto contratado e da respectiva nota explicativa.</dc:description>
  <dc:language>pt-BR</dc:language>
  <cp:lastModifiedBy/>
  <dcterms:modified xsi:type="dcterms:W3CDTF">2023-11-07T11:57:34Z</dcterms:modified>
  <cp:revision>79</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44</vt:lpwstr>
  </property>
  <property fmtid="{D5CDD505-2E9C-101B-9397-08002B2CF9AE}" pid="3" name="ContentTypeId">
    <vt:lpwstr>0x01010012A2765E7DFD38469B2E626874CD0041</vt:lpwstr>
  </property>
</Properties>
</file>